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296AB1E6"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D378211" w14:textId="2A01362D" w:rsidR="00FF762E" w:rsidRPr="00FF762E" w:rsidRDefault="00FF762E" w:rsidP="00865C2F">
      <w:pPr>
        <w:rPr>
          <w:i/>
          <w:sz w:val="32"/>
          <w:szCs w:val="32"/>
          <w:lang w:val="en-GB"/>
        </w:rPr>
      </w:pPr>
      <w:r w:rsidRPr="00FF762E">
        <w:rPr>
          <w:rStyle w:val="Emphasis"/>
          <w:szCs w:val="24"/>
          <w:shd w:val="clear" w:color="auto" w:fill="FFFFFF"/>
        </w:rPr>
        <w:t xml:space="preserve">Changes requests are to be submitted through the ISO 20022 website through </w:t>
      </w:r>
      <w:hyperlink r:id="rId9"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29E22C75" w:rsidR="000408BA" w:rsidRDefault="008438AF" w:rsidP="008438AF">
      <w:pPr>
        <w:rPr>
          <w:szCs w:val="24"/>
          <w:lang w:val="en-GB"/>
        </w:rPr>
      </w:pPr>
      <w:r w:rsidRPr="008438AF">
        <w:rPr>
          <w:i/>
          <w:szCs w:val="24"/>
          <w:lang w:val="en-GB"/>
        </w:rPr>
        <w:t>A.1 Submitter</w:t>
      </w:r>
      <w:r>
        <w:rPr>
          <w:szCs w:val="24"/>
          <w:lang w:val="en-GB"/>
        </w:rPr>
        <w:t xml:space="preserve">: </w:t>
      </w:r>
      <w:r w:rsidR="00EC431F">
        <w:rPr>
          <w:szCs w:val="24"/>
          <w:lang w:val="en-GB"/>
        </w:rPr>
        <w:t>CLS Bank International</w:t>
      </w:r>
    </w:p>
    <w:p w14:paraId="208D6D98" w14:textId="77777777" w:rsidR="00F13355" w:rsidRDefault="000408BA" w:rsidP="00F13355">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F13355">
        <w:rPr>
          <w:szCs w:val="24"/>
          <w:lang w:val="en-GB"/>
        </w:rPr>
        <w:t>Stuart Buckley. sbuckley@cls-services.com</w:t>
      </w:r>
    </w:p>
    <w:p w14:paraId="3872C480" w14:textId="6CB2162A" w:rsidR="008438AF" w:rsidRDefault="008438AF" w:rsidP="008438AF">
      <w:pPr>
        <w:rPr>
          <w:szCs w:val="24"/>
          <w:lang w:val="en-GB"/>
        </w:rPr>
      </w:pPr>
    </w:p>
    <w:p w14:paraId="623341B8" w14:textId="1FFCCD9F" w:rsidR="00787459" w:rsidRDefault="008438AF" w:rsidP="00787459">
      <w:pPr>
        <w:rPr>
          <w:b/>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787459">
        <w:rPr>
          <w:szCs w:val="24"/>
          <w:lang w:val="en-GB"/>
        </w:rPr>
        <w:t>This change will be socialised with all CLS Member/Participant banks via an official Participant notice.  We adopt a policy at CLS of aligning our messages to the latest standards where there is a valid business case to do so.  No objections to this strategy have been received.</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1B334C2B" w:rsidR="00854FA6" w:rsidRDefault="00854FA6" w:rsidP="00854FA6">
      <w:pPr>
        <w:rPr>
          <w:lang w:val="en-GB"/>
        </w:rPr>
      </w:pPr>
      <w:r>
        <w:rPr>
          <w:lang w:val="en-GB"/>
        </w:rPr>
        <w:t xml:space="preserve">The list of ISO 20022 messages which would be impacted by the change, including the Message IDs as shown in the </w:t>
      </w:r>
      <w:hyperlink r:id="rId10"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19FDCAB1" w14:textId="77777777" w:rsidR="00787459" w:rsidRDefault="00787459" w:rsidP="00854FA6">
      <w:pPr>
        <w:rPr>
          <w:lang w:val="en-GB"/>
        </w:rPr>
      </w:pPr>
    </w:p>
    <w:tbl>
      <w:tblPr>
        <w:tblW w:w="7938" w:type="dxa"/>
        <w:tblInd w:w="-809" w:type="dxa"/>
        <w:tblCellMar>
          <w:left w:w="0" w:type="dxa"/>
          <w:right w:w="0" w:type="dxa"/>
        </w:tblCellMar>
        <w:tblLook w:val="04A0" w:firstRow="1" w:lastRow="0" w:firstColumn="1" w:lastColumn="0" w:noHBand="0" w:noVBand="1"/>
      </w:tblPr>
      <w:tblGrid>
        <w:gridCol w:w="2216"/>
        <w:gridCol w:w="5722"/>
      </w:tblGrid>
      <w:tr w:rsidR="00787459" w14:paraId="0716D979" w14:textId="77777777" w:rsidTr="0038039C">
        <w:trPr>
          <w:trHeight w:val="300"/>
        </w:trPr>
        <w:tc>
          <w:tcPr>
            <w:tcW w:w="2216"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5161322" w14:textId="77777777" w:rsidR="00787459" w:rsidRDefault="00787459" w:rsidP="0038039C">
            <w:pPr>
              <w:rPr>
                <w:b/>
                <w:bCs/>
                <w:color w:val="000000"/>
              </w:rPr>
            </w:pPr>
            <w:r>
              <w:rPr>
                <w:b/>
                <w:bCs/>
                <w:color w:val="000000"/>
              </w:rPr>
              <w:t>Message</w:t>
            </w:r>
          </w:p>
        </w:tc>
        <w:tc>
          <w:tcPr>
            <w:tcW w:w="5722"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AE8FBF5" w14:textId="77777777" w:rsidR="00787459" w:rsidRDefault="00787459" w:rsidP="0038039C">
            <w:pPr>
              <w:rPr>
                <w:b/>
                <w:bCs/>
                <w:color w:val="000000"/>
              </w:rPr>
            </w:pPr>
            <w:r>
              <w:rPr>
                <w:b/>
                <w:bCs/>
                <w:color w:val="000000"/>
              </w:rPr>
              <w:t>Message Name</w:t>
            </w:r>
          </w:p>
        </w:tc>
      </w:tr>
      <w:tr w:rsidR="00787459" w14:paraId="54C14A0E" w14:textId="77777777" w:rsidTr="0038039C">
        <w:trPr>
          <w:trHeight w:val="300"/>
        </w:trPr>
        <w:tc>
          <w:tcPr>
            <w:tcW w:w="22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A1A6FD" w14:textId="477C9082" w:rsidR="00787459" w:rsidRDefault="00787459" w:rsidP="0038039C">
            <w:pPr>
              <w:rPr>
                <w:color w:val="000000"/>
              </w:rPr>
            </w:pPr>
            <w:r>
              <w:rPr>
                <w:color w:val="000000"/>
              </w:rPr>
              <w:t>fxtr.014.001.05.xsd</w:t>
            </w:r>
          </w:p>
        </w:tc>
        <w:tc>
          <w:tcPr>
            <w:tcW w:w="572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8FFBF2" w14:textId="77777777" w:rsidR="00787459" w:rsidRDefault="00787459" w:rsidP="0038039C">
            <w:pPr>
              <w:rPr>
                <w:color w:val="000000"/>
              </w:rPr>
            </w:pPr>
            <w:r>
              <w:rPr>
                <w:color w:val="000000"/>
              </w:rPr>
              <w:t>ForeignExchangeTradeInstructionV04</w:t>
            </w:r>
          </w:p>
        </w:tc>
      </w:tr>
      <w:tr w:rsidR="00787459" w14:paraId="5A423C12" w14:textId="77777777" w:rsidTr="0038039C">
        <w:trPr>
          <w:trHeight w:val="300"/>
        </w:trPr>
        <w:tc>
          <w:tcPr>
            <w:tcW w:w="22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42DE72" w14:textId="493BB257" w:rsidR="00787459" w:rsidRDefault="00787459" w:rsidP="0038039C">
            <w:pPr>
              <w:rPr>
                <w:color w:val="000000"/>
              </w:rPr>
            </w:pPr>
            <w:r>
              <w:rPr>
                <w:color w:val="000000"/>
              </w:rPr>
              <w:t>fxtr.015.001.05.xsd</w:t>
            </w:r>
          </w:p>
        </w:tc>
        <w:tc>
          <w:tcPr>
            <w:tcW w:w="572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5C6959" w14:textId="77777777" w:rsidR="00787459" w:rsidRDefault="00787459" w:rsidP="0038039C">
            <w:pPr>
              <w:rPr>
                <w:color w:val="000000"/>
              </w:rPr>
            </w:pPr>
            <w:r>
              <w:rPr>
                <w:color w:val="000000"/>
              </w:rPr>
              <w:t>ForeignExchangeTradeInstructionAmendmentV04</w:t>
            </w:r>
          </w:p>
        </w:tc>
      </w:tr>
      <w:tr w:rsidR="00787459" w14:paraId="5E6A5188" w14:textId="77777777" w:rsidTr="0038039C">
        <w:trPr>
          <w:trHeight w:val="300"/>
        </w:trPr>
        <w:tc>
          <w:tcPr>
            <w:tcW w:w="22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0755FB" w14:textId="2ADC4776" w:rsidR="00787459" w:rsidRDefault="00787459" w:rsidP="0038039C">
            <w:pPr>
              <w:rPr>
                <w:color w:val="000000"/>
              </w:rPr>
            </w:pPr>
            <w:r>
              <w:rPr>
                <w:color w:val="000000"/>
              </w:rPr>
              <w:t>fxtr.016.001.05.xsd</w:t>
            </w:r>
          </w:p>
        </w:tc>
        <w:tc>
          <w:tcPr>
            <w:tcW w:w="572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7A570C" w14:textId="77777777" w:rsidR="00787459" w:rsidRDefault="00787459" w:rsidP="0038039C">
            <w:pPr>
              <w:rPr>
                <w:color w:val="000000"/>
              </w:rPr>
            </w:pPr>
            <w:r>
              <w:rPr>
                <w:color w:val="000000"/>
              </w:rPr>
              <w:t>ForeignExchangeTradeInstructionCancellationV04</w:t>
            </w:r>
          </w:p>
        </w:tc>
      </w:tr>
      <w:tr w:rsidR="00787459" w14:paraId="2135A5CD" w14:textId="77777777" w:rsidTr="0038039C">
        <w:trPr>
          <w:trHeight w:val="300"/>
        </w:trPr>
        <w:tc>
          <w:tcPr>
            <w:tcW w:w="22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C6B702" w14:textId="38B23345" w:rsidR="00787459" w:rsidRDefault="00787459" w:rsidP="0038039C">
            <w:pPr>
              <w:rPr>
                <w:color w:val="000000"/>
              </w:rPr>
            </w:pPr>
            <w:r>
              <w:rPr>
                <w:color w:val="000000"/>
              </w:rPr>
              <w:t>fxtr.017.001.05.xsd</w:t>
            </w:r>
          </w:p>
        </w:tc>
        <w:tc>
          <w:tcPr>
            <w:tcW w:w="572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679114" w14:textId="77777777" w:rsidR="00787459" w:rsidRDefault="00787459" w:rsidP="0038039C">
            <w:pPr>
              <w:rPr>
                <w:color w:val="000000"/>
              </w:rPr>
            </w:pPr>
            <w:r>
              <w:rPr>
                <w:color w:val="000000"/>
              </w:rPr>
              <w:t>ForeignExchangeTradeStatusAndDetailsNotificationV04</w:t>
            </w:r>
          </w:p>
        </w:tc>
      </w:tr>
    </w:tbl>
    <w:p w14:paraId="191260A0" w14:textId="248CEDAD" w:rsidR="00787459" w:rsidRDefault="00787459" w:rsidP="00854FA6">
      <w:pPr>
        <w:rPr>
          <w:lang w:val="en-GB"/>
        </w:rPr>
      </w:pPr>
    </w:p>
    <w:p w14:paraId="4D86C636" w14:textId="466EE094" w:rsidR="00CF7466" w:rsidRDefault="00CF7466" w:rsidP="00854FA6">
      <w:pPr>
        <w:rPr>
          <w:lang w:val="en-GB"/>
        </w:rPr>
      </w:pPr>
    </w:p>
    <w:p w14:paraId="26AA7B3D" w14:textId="77777777" w:rsidR="00CF7466" w:rsidRDefault="00CF7466" w:rsidP="00854FA6">
      <w:pPr>
        <w:rPr>
          <w:lang w:val="en-GB"/>
        </w:rPr>
      </w:pPr>
    </w:p>
    <w:p w14:paraId="4B94460B" w14:textId="77777777" w:rsidR="00787459" w:rsidRPr="00D123C1" w:rsidRDefault="00787459" w:rsidP="00854FA6">
      <w:pPr>
        <w:rPr>
          <w:szCs w:val="24"/>
          <w:lang w:val="en-GB"/>
        </w:rPr>
      </w:pPr>
    </w:p>
    <w:p w14:paraId="09EDAEAF" w14:textId="77777777" w:rsidR="00854FA6" w:rsidRDefault="006D4A37" w:rsidP="00854FA6">
      <w:pPr>
        <w:numPr>
          <w:ilvl w:val="0"/>
          <w:numId w:val="6"/>
        </w:numPr>
        <w:rPr>
          <w:lang w:val="en-GB"/>
        </w:rPr>
      </w:pPr>
      <w:r>
        <w:rPr>
          <w:b/>
          <w:lang w:val="en-GB"/>
        </w:rPr>
        <w:lastRenderedPageBreak/>
        <w:t>Description of the change request:</w:t>
      </w:r>
    </w:p>
    <w:p w14:paraId="621E6F07" w14:textId="77777777" w:rsidR="00CF7466" w:rsidRDefault="00787459" w:rsidP="000408BA">
      <w:pPr>
        <w:rPr>
          <w:lang w:val="en-GB"/>
        </w:rPr>
      </w:pPr>
      <w:r>
        <w:rPr>
          <w:lang w:val="en-GB"/>
        </w:rPr>
        <w:t>Updating the message schemas listed above from the suite of CLS related FX messages with</w:t>
      </w:r>
      <w:r w:rsidR="00CF7466">
        <w:rPr>
          <w:lang w:val="en-GB"/>
        </w:rPr>
        <w:t xml:space="preserve"> the following:</w:t>
      </w:r>
    </w:p>
    <w:p w14:paraId="5354E890" w14:textId="77777777" w:rsidR="00CF7466" w:rsidRDefault="00CF7466" w:rsidP="000408BA">
      <w:pPr>
        <w:rPr>
          <w:lang w:val="en-GB"/>
        </w:rPr>
      </w:pPr>
    </w:p>
    <w:p w14:paraId="7BFFA97B" w14:textId="77777777" w:rsidR="00CF7466" w:rsidRDefault="00CF7466" w:rsidP="00CF7466">
      <w:pPr>
        <w:pStyle w:val="ListParagraph"/>
        <w:numPr>
          <w:ilvl w:val="0"/>
          <w:numId w:val="17"/>
        </w:numPr>
        <w:rPr>
          <w:lang w:val="en-GB"/>
        </w:rPr>
      </w:pPr>
      <w:r w:rsidRPr="00CF7466">
        <w:rPr>
          <w:lang w:val="en-GB"/>
        </w:rPr>
        <w:t xml:space="preserve">Calculation Agent field (to align to 26K) </w:t>
      </w:r>
    </w:p>
    <w:p w14:paraId="441B4E14" w14:textId="77777777" w:rsidR="00CF7466" w:rsidRDefault="00CF7466" w:rsidP="00CF7466">
      <w:pPr>
        <w:pStyle w:val="ListParagraph"/>
        <w:numPr>
          <w:ilvl w:val="0"/>
          <w:numId w:val="17"/>
        </w:numPr>
        <w:rPr>
          <w:lang w:val="en-GB"/>
        </w:rPr>
      </w:pPr>
      <w:r w:rsidRPr="00CF7466">
        <w:rPr>
          <w:lang w:val="en-GB"/>
        </w:rPr>
        <w:t xml:space="preserve">Payment Clearing Centre field (to align to 39M) </w:t>
      </w:r>
    </w:p>
    <w:p w14:paraId="4C679ECA" w14:textId="561A4432" w:rsidR="00CF7466" w:rsidRDefault="00CF7466" w:rsidP="00CF7466">
      <w:pPr>
        <w:pStyle w:val="ListParagraph"/>
        <w:numPr>
          <w:ilvl w:val="0"/>
          <w:numId w:val="17"/>
        </w:numPr>
        <w:rPr>
          <w:lang w:val="en-GB"/>
        </w:rPr>
      </w:pPr>
      <w:r>
        <w:rPr>
          <w:lang w:val="en-GB"/>
        </w:rPr>
        <w:t xml:space="preserve">Post Trade </w:t>
      </w:r>
      <w:r w:rsidR="006F3D8D">
        <w:rPr>
          <w:lang w:val="en-GB"/>
        </w:rPr>
        <w:t>E</w:t>
      </w:r>
      <w:r>
        <w:rPr>
          <w:lang w:val="en-GB"/>
        </w:rPr>
        <w:t>vents</w:t>
      </w:r>
      <w:r w:rsidRPr="00CF7466">
        <w:rPr>
          <w:lang w:val="en-GB"/>
        </w:rPr>
        <w:t xml:space="preserve"> sequence </w:t>
      </w:r>
      <w:r>
        <w:rPr>
          <w:lang w:val="en-GB"/>
        </w:rPr>
        <w:t>(</w:t>
      </w:r>
      <w:r w:rsidRPr="00CF7466">
        <w:rPr>
          <w:lang w:val="en-GB"/>
        </w:rPr>
        <w:t>to align to Optional sequence F</w:t>
      </w:r>
      <w:r>
        <w:rPr>
          <w:lang w:val="en-GB"/>
        </w:rPr>
        <w:t>)</w:t>
      </w:r>
    </w:p>
    <w:p w14:paraId="0EFAF364" w14:textId="4A2A2E91" w:rsidR="00CF7466" w:rsidRDefault="00CF7466" w:rsidP="00CF7466">
      <w:pPr>
        <w:pStyle w:val="ListParagraph"/>
        <w:numPr>
          <w:ilvl w:val="1"/>
          <w:numId w:val="17"/>
        </w:numPr>
        <w:rPr>
          <w:lang w:val="en-GB"/>
        </w:rPr>
      </w:pPr>
      <w:r>
        <w:rPr>
          <w:lang w:val="en-GB"/>
        </w:rPr>
        <w:t>Event Type and Reference (to align to 21H)</w:t>
      </w:r>
    </w:p>
    <w:p w14:paraId="4F49499E" w14:textId="57067C9E" w:rsidR="00CF7466" w:rsidRDefault="00CF7466" w:rsidP="00CF7466">
      <w:pPr>
        <w:pStyle w:val="ListParagraph"/>
        <w:numPr>
          <w:ilvl w:val="1"/>
          <w:numId w:val="17"/>
        </w:numPr>
        <w:rPr>
          <w:lang w:val="en-GB"/>
        </w:rPr>
      </w:pPr>
      <w:r>
        <w:rPr>
          <w:lang w:val="en-GB"/>
        </w:rPr>
        <w:t>Underlying liability Reference (to align to 21F)</w:t>
      </w:r>
    </w:p>
    <w:p w14:paraId="2EE79FD4" w14:textId="56342D8C" w:rsidR="00CF7466" w:rsidRDefault="00CF7466" w:rsidP="00CF7466">
      <w:pPr>
        <w:pStyle w:val="ListParagraph"/>
        <w:numPr>
          <w:ilvl w:val="1"/>
          <w:numId w:val="17"/>
        </w:numPr>
        <w:rPr>
          <w:lang w:val="en-GB"/>
        </w:rPr>
      </w:pPr>
      <w:r>
        <w:rPr>
          <w:lang w:val="en-GB"/>
        </w:rPr>
        <w:t>Profit and Loss Settlement Date (to align to 30F)</w:t>
      </w:r>
    </w:p>
    <w:p w14:paraId="29F2BAAB" w14:textId="2BDB08CC" w:rsidR="00CF7466" w:rsidRDefault="00CF7466" w:rsidP="00CF7466">
      <w:pPr>
        <w:pStyle w:val="ListParagraph"/>
        <w:numPr>
          <w:ilvl w:val="1"/>
          <w:numId w:val="17"/>
        </w:numPr>
        <w:rPr>
          <w:lang w:val="en-GB"/>
        </w:rPr>
      </w:pPr>
      <w:r>
        <w:rPr>
          <w:lang w:val="en-GB"/>
        </w:rPr>
        <w:t>Profit and Loss Settlement Amount (to align to 32H)</w:t>
      </w:r>
    </w:p>
    <w:p w14:paraId="2AC42A1A" w14:textId="4F7487E9" w:rsidR="00CF7466" w:rsidRPr="00CF7466" w:rsidRDefault="00CF7466" w:rsidP="00CF7466">
      <w:pPr>
        <w:pStyle w:val="ListParagraph"/>
        <w:numPr>
          <w:ilvl w:val="1"/>
          <w:numId w:val="17"/>
        </w:numPr>
        <w:rPr>
          <w:lang w:val="en-GB"/>
        </w:rPr>
      </w:pPr>
      <w:r>
        <w:rPr>
          <w:lang w:val="en-GB"/>
        </w:rPr>
        <w:t>Outstanding Settlement Amount (to align to 33E)</w:t>
      </w:r>
    </w:p>
    <w:p w14:paraId="3EF0522A" w14:textId="77777777" w:rsidR="00CF7466" w:rsidRDefault="00CF7466" w:rsidP="000408BA">
      <w:pPr>
        <w:rPr>
          <w:lang w:val="en-GB"/>
        </w:rPr>
      </w:pPr>
    </w:p>
    <w:p w14:paraId="7939DBFB" w14:textId="36572F0E" w:rsidR="000408BA" w:rsidRDefault="00CF7466" w:rsidP="000408BA">
      <w:pPr>
        <w:rPr>
          <w:szCs w:val="24"/>
          <w:lang w:val="en-GB"/>
        </w:rPr>
      </w:pPr>
      <w:r>
        <w:rPr>
          <w:lang w:val="en-GB"/>
        </w:rPr>
        <w:t xml:space="preserve">These additions to the </w:t>
      </w:r>
      <w:proofErr w:type="spellStart"/>
      <w:r>
        <w:rPr>
          <w:lang w:val="en-GB"/>
        </w:rPr>
        <w:t>fxtr</w:t>
      </w:r>
      <w:proofErr w:type="spellEnd"/>
      <w:r>
        <w:rPr>
          <w:lang w:val="en-GB"/>
        </w:rPr>
        <w:t xml:space="preserve"> messages will ensure that they are</w:t>
      </w:r>
      <w:r w:rsidR="004744AF">
        <w:rPr>
          <w:lang w:val="en-GB"/>
        </w:rPr>
        <w:t xml:space="preserve"> fully</w:t>
      </w:r>
      <w:r>
        <w:rPr>
          <w:lang w:val="en-GB"/>
        </w:rPr>
        <w:t xml:space="preserve"> aligned to the MT 300 and MT 304 and meet future </w:t>
      </w:r>
      <w:r w:rsidR="00F65B83">
        <w:rPr>
          <w:lang w:val="en-GB"/>
        </w:rPr>
        <w:t>market</w:t>
      </w:r>
      <w:r>
        <w:rPr>
          <w:lang w:val="en-GB"/>
        </w:rPr>
        <w:t xml:space="preserve"> expectations regarding standards </w:t>
      </w:r>
      <w:r w:rsidR="004744AF">
        <w:rPr>
          <w:lang w:val="en-GB"/>
        </w:rPr>
        <w:t>compatibility</w:t>
      </w:r>
      <w:r>
        <w:rPr>
          <w:lang w:val="en-GB"/>
        </w:rPr>
        <w:t xml:space="preserve"> </w:t>
      </w:r>
      <w:r w:rsidR="004744AF">
        <w:rPr>
          <w:lang w:val="en-GB"/>
        </w:rPr>
        <w:t>between</w:t>
      </w:r>
      <w:r>
        <w:rPr>
          <w:lang w:val="en-GB"/>
        </w:rPr>
        <w:t xml:space="preserve"> </w:t>
      </w:r>
      <w:r w:rsidR="00F65B83">
        <w:rPr>
          <w:lang w:val="en-GB"/>
        </w:rPr>
        <w:t>the</w:t>
      </w:r>
      <w:r>
        <w:rPr>
          <w:lang w:val="en-GB"/>
        </w:rPr>
        <w:t xml:space="preserve"> XML message suite</w:t>
      </w:r>
      <w:r w:rsidR="004744AF">
        <w:rPr>
          <w:lang w:val="en-GB"/>
        </w:rPr>
        <w:t xml:space="preserve"> and the MT3XX messages</w:t>
      </w:r>
      <w:r w:rsidR="00F65B83">
        <w:rPr>
          <w:lang w:val="en-GB"/>
        </w:rPr>
        <w:t>.</w:t>
      </w:r>
    </w:p>
    <w:p w14:paraId="3BB91AEE" w14:textId="66B7EBA1" w:rsidR="005246BE" w:rsidRPr="00CF7466" w:rsidRDefault="00E74C04" w:rsidP="00CF7466">
      <w:pPr>
        <w:numPr>
          <w:ilvl w:val="0"/>
          <w:numId w:val="6"/>
        </w:numPr>
        <w:rPr>
          <w:b/>
          <w:szCs w:val="24"/>
          <w:lang w:val="en-GB"/>
        </w:rPr>
      </w:pPr>
      <w:r w:rsidRPr="00CF7466">
        <w:rPr>
          <w:b/>
          <w:szCs w:val="24"/>
          <w:lang w:val="en-GB"/>
        </w:rPr>
        <w:br w:type="page"/>
      </w:r>
      <w:r w:rsidR="005246BE" w:rsidRPr="00CF7466">
        <w:rPr>
          <w:b/>
          <w:szCs w:val="24"/>
          <w:lang w:val="en-GB"/>
        </w:rPr>
        <w:lastRenderedPageBreak/>
        <w:t xml:space="preserve">Purpose of the </w:t>
      </w:r>
      <w:r w:rsidR="00577861" w:rsidRPr="00CF7466">
        <w:rPr>
          <w:b/>
          <w:szCs w:val="24"/>
          <w:lang w:val="en-GB"/>
        </w:rPr>
        <w:t>change</w:t>
      </w:r>
      <w:r w:rsidR="005246BE" w:rsidRPr="00CF7466">
        <w:rPr>
          <w:b/>
          <w:szCs w:val="24"/>
          <w:lang w:val="en-GB"/>
        </w:rPr>
        <w:t>:</w:t>
      </w:r>
    </w:p>
    <w:p w14:paraId="23A7B070" w14:textId="7558BD7C" w:rsidR="00054CFC" w:rsidRDefault="00054CFC" w:rsidP="00054CFC">
      <w:r w:rsidRPr="00054CFC">
        <w:rPr>
          <w:lang w:val="en-GB"/>
        </w:rPr>
        <w:t xml:space="preserve">CLS also has a policy of aligning messages to the latest versions and standards.  </w:t>
      </w:r>
      <w:r>
        <w:rPr>
          <w:lang w:val="en-GB"/>
        </w:rPr>
        <w:t xml:space="preserve">Adding the above fields to the </w:t>
      </w:r>
      <w:proofErr w:type="spellStart"/>
      <w:r>
        <w:rPr>
          <w:lang w:val="en-GB"/>
        </w:rPr>
        <w:t>fxtr</w:t>
      </w:r>
      <w:proofErr w:type="spellEnd"/>
      <w:r>
        <w:rPr>
          <w:lang w:val="en-GB"/>
        </w:rPr>
        <w:t xml:space="preserve"> messages continues this practice.  These fields have been omitted from previous updates but may be required by the market </w:t>
      </w:r>
      <w:r w:rsidR="00F65B83">
        <w:rPr>
          <w:lang w:val="en-GB"/>
        </w:rPr>
        <w:t>i</w:t>
      </w:r>
      <w:r>
        <w:rPr>
          <w:lang w:val="en-GB"/>
        </w:rPr>
        <w:t>n the future</w:t>
      </w:r>
      <w:r w:rsidR="00F65B83">
        <w:rPr>
          <w:lang w:val="en-GB"/>
        </w:rPr>
        <w:t>,</w:t>
      </w:r>
      <w:r>
        <w:rPr>
          <w:lang w:val="en-GB"/>
        </w:rPr>
        <w:t xml:space="preserve"> so we feel the updates are essential to ensure the </w:t>
      </w:r>
      <w:proofErr w:type="spellStart"/>
      <w:r>
        <w:rPr>
          <w:lang w:val="en-GB"/>
        </w:rPr>
        <w:t>fxtr</w:t>
      </w:r>
      <w:proofErr w:type="spellEnd"/>
      <w:r>
        <w:rPr>
          <w:lang w:val="en-GB"/>
        </w:rPr>
        <w:t xml:space="preserve"> messages are up to date when required by the business. </w:t>
      </w:r>
      <w:r w:rsidRPr="00054CFC">
        <w:rPr>
          <w:lang w:val="en-GB"/>
        </w:rPr>
        <w:t xml:space="preserve"> This will meet our </w:t>
      </w:r>
      <w:r w:rsidR="00F65B83">
        <w:rPr>
          <w:lang w:val="en-GB"/>
        </w:rPr>
        <w:t>Participants</w:t>
      </w:r>
      <w:r w:rsidRPr="00054CFC">
        <w:rPr>
          <w:lang w:val="en-GB"/>
        </w:rPr>
        <w:t xml:space="preserve"> expectations regarding standards alignment across our message suite.</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306FABBB" w14:textId="589DB4E0" w:rsidR="00054CFC" w:rsidRDefault="00054CFC" w:rsidP="00D12F07">
      <w:pPr>
        <w:ind w:left="360"/>
        <w:rPr>
          <w:szCs w:val="24"/>
          <w:lang w:val="en-GB"/>
        </w:rPr>
      </w:pPr>
      <w:r>
        <w:rPr>
          <w:szCs w:val="24"/>
          <w:lang w:val="en-GB"/>
        </w:rPr>
        <w:t>Default timeline of June 1</w:t>
      </w:r>
      <w:r w:rsidRPr="00F27C6D">
        <w:rPr>
          <w:szCs w:val="24"/>
          <w:vertAlign w:val="superscript"/>
          <w:lang w:val="en-GB"/>
        </w:rPr>
        <w:t>st</w:t>
      </w:r>
      <w:r>
        <w:rPr>
          <w:szCs w:val="24"/>
          <w:lang w:val="en-GB"/>
        </w:rPr>
        <w:t xml:space="preserve"> for submission and availability of the new versions in SR2024</w:t>
      </w:r>
    </w:p>
    <w:p w14:paraId="16387BC1" w14:textId="724DDEF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1229A459" w14:textId="52C05D15" w:rsidR="004864FD" w:rsidRDefault="004864FD" w:rsidP="004864FD">
      <w:pPr>
        <w:rPr>
          <w:lang w:val="en-GB"/>
        </w:rPr>
      </w:pPr>
      <w:r>
        <w:rPr>
          <w:lang w:val="en-GB"/>
        </w:rPr>
        <w:t xml:space="preserve">These are new MX elements required in the </w:t>
      </w:r>
      <w:proofErr w:type="spellStart"/>
      <w:r>
        <w:rPr>
          <w:lang w:val="en-GB"/>
        </w:rPr>
        <w:t>fxtr</w:t>
      </w:r>
      <w:proofErr w:type="spellEnd"/>
      <w:r>
        <w:rPr>
          <w:lang w:val="en-GB"/>
        </w:rPr>
        <w:t xml:space="preserve"> messages to align with the below MT change requests from SR</w:t>
      </w:r>
    </w:p>
    <w:p w14:paraId="317D002E" w14:textId="71B50152" w:rsidR="004864FD" w:rsidRDefault="004864FD" w:rsidP="004864FD">
      <w:pPr>
        <w:rPr>
          <w:lang w:val="en-GB"/>
        </w:rPr>
      </w:pPr>
      <w:r>
        <w:rPr>
          <w:lang w:val="en-GB"/>
        </w:rPr>
        <w:t>Field 39M</w:t>
      </w:r>
    </w:p>
    <w:p w14:paraId="6CC20749" w14:textId="4A4E3DC6" w:rsidR="004864FD" w:rsidRDefault="004864FD" w:rsidP="00783891">
      <w:pPr>
        <w:rPr>
          <w:lang w:val="en-GB"/>
        </w:rPr>
      </w:pPr>
      <w:r>
        <w:rPr>
          <w:noProof/>
        </w:rPr>
        <w:drawing>
          <wp:inline distT="0" distB="0" distL="0" distR="0" wp14:anchorId="36A4B7E9" wp14:editId="3633EE92">
            <wp:extent cx="5701030" cy="1356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1030" cy="1356995"/>
                    </a:xfrm>
                    <a:prstGeom prst="rect">
                      <a:avLst/>
                    </a:prstGeom>
                  </pic:spPr>
                </pic:pic>
              </a:graphicData>
            </a:graphic>
          </wp:inline>
        </w:drawing>
      </w:r>
    </w:p>
    <w:p w14:paraId="0AE91D9D" w14:textId="6C7040CF" w:rsidR="004864FD" w:rsidRDefault="00DD5219" w:rsidP="00783891">
      <w:pPr>
        <w:rPr>
          <w:lang w:val="en-GB"/>
        </w:rPr>
      </w:pPr>
      <w:r>
        <w:rPr>
          <w:lang w:val="en-GB"/>
        </w:rPr>
        <w:t>Field 26K</w:t>
      </w:r>
    </w:p>
    <w:p w14:paraId="297332F9" w14:textId="03054582" w:rsidR="00DD5219" w:rsidRDefault="00DD5219" w:rsidP="00783891">
      <w:pPr>
        <w:rPr>
          <w:lang w:val="en-GB"/>
        </w:rPr>
      </w:pPr>
      <w:r>
        <w:rPr>
          <w:noProof/>
        </w:rPr>
        <w:lastRenderedPageBreak/>
        <w:drawing>
          <wp:inline distT="0" distB="0" distL="0" distR="0" wp14:anchorId="7C4844DE" wp14:editId="00C777C2">
            <wp:extent cx="5701030" cy="3691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1030" cy="3691255"/>
                    </a:xfrm>
                    <a:prstGeom prst="rect">
                      <a:avLst/>
                    </a:prstGeom>
                  </pic:spPr>
                </pic:pic>
              </a:graphicData>
            </a:graphic>
          </wp:inline>
        </w:drawing>
      </w:r>
    </w:p>
    <w:p w14:paraId="26FD02C3" w14:textId="77777777" w:rsidR="004864FD" w:rsidRDefault="004864FD" w:rsidP="00783891">
      <w:pPr>
        <w:rPr>
          <w:lang w:val="en-GB"/>
        </w:rPr>
      </w:pPr>
    </w:p>
    <w:p w14:paraId="7DDE6288" w14:textId="60B60791" w:rsidR="004864FD" w:rsidRDefault="004864FD" w:rsidP="00783891">
      <w:pPr>
        <w:rPr>
          <w:lang w:val="en-GB"/>
        </w:rPr>
      </w:pPr>
      <w:r>
        <w:rPr>
          <w:lang w:val="en-GB"/>
        </w:rPr>
        <w:t>Post Trade events sequence (Fields 21H, 21F, 30F, 32H and 33E)</w:t>
      </w:r>
    </w:p>
    <w:p w14:paraId="3C15E7CF" w14:textId="25E08890" w:rsidR="004864FD" w:rsidRDefault="004864FD" w:rsidP="00783891">
      <w:pPr>
        <w:rPr>
          <w:lang w:val="en-GB"/>
        </w:rPr>
      </w:pPr>
      <w:r>
        <w:rPr>
          <w:noProof/>
        </w:rPr>
        <w:lastRenderedPageBreak/>
        <w:drawing>
          <wp:inline distT="0" distB="0" distL="0" distR="0" wp14:anchorId="5ADE4B50" wp14:editId="6328E4F8">
            <wp:extent cx="5701030" cy="5828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1030" cy="5828030"/>
                    </a:xfrm>
                    <a:prstGeom prst="rect">
                      <a:avLst/>
                    </a:prstGeom>
                  </pic:spPr>
                </pic:pic>
              </a:graphicData>
            </a:graphic>
          </wp:inline>
        </w:drawing>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4CE3905E" w:rsidR="00C40729" w:rsidRPr="00AD7CD5" w:rsidRDefault="00FD2690"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2CB5DAEB" w14:textId="5A5E8D6F" w:rsidR="00130EB9" w:rsidRPr="00AD7CD5" w:rsidRDefault="00130EB9" w:rsidP="0025138E">
            <w:pPr>
              <w:spacing w:before="0"/>
              <w:jc w:val="both"/>
              <w:rPr>
                <w:color w:val="FF0000"/>
                <w:szCs w:val="24"/>
                <w:lang w:val="en-GB"/>
              </w:rPr>
            </w:pP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051038F4" w:rsidR="00C40729" w:rsidRPr="00AD7CD5" w:rsidRDefault="00C40729" w:rsidP="0025138E">
            <w:pPr>
              <w:rPr>
                <w:color w:val="FF0000"/>
                <w:szCs w:val="24"/>
                <w:lang w:val="en-GB"/>
              </w:rPr>
            </w:pPr>
            <w:r>
              <w:rPr>
                <w:szCs w:val="24"/>
                <w:lang w:val="en-GB"/>
              </w:rPr>
              <w:t xml:space="preserve">- </w:t>
            </w:r>
            <w:r>
              <w:rPr>
                <w:b/>
                <w:szCs w:val="24"/>
                <w:lang w:val="en-GB"/>
              </w:rPr>
              <w:t>Other timing:</w:t>
            </w:r>
            <w:r w:rsidR="00315397">
              <w:rPr>
                <w:b/>
                <w:szCs w:val="24"/>
                <w:lang w:val="en-GB"/>
              </w:rPr>
              <w:t xml:space="preserve"> </w:t>
            </w:r>
            <w:r w:rsidR="00315397" w:rsidRPr="00315397">
              <w:rPr>
                <w:b/>
                <w:color w:val="FF0000"/>
                <w:szCs w:val="24"/>
                <w:lang w:val="en-GB"/>
              </w:rPr>
              <w:t>2024/2025</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465C25F6" w:rsidR="00C41DDB" w:rsidRDefault="00C41DDB" w:rsidP="00567F13">
      <w:pPr>
        <w:rPr>
          <w:szCs w:val="24"/>
          <w:lang w:val="en-GB"/>
        </w:rPr>
      </w:pPr>
      <w:r>
        <w:rPr>
          <w:szCs w:val="24"/>
          <w:lang w:val="en-GB"/>
        </w:rPr>
        <w:t>Comments:</w:t>
      </w:r>
      <w:r w:rsidR="002B53D8">
        <w:rPr>
          <w:szCs w:val="24"/>
          <w:lang w:val="en-GB"/>
        </w:rPr>
        <w:t xml:space="preserve"> </w:t>
      </w:r>
      <w:r w:rsidR="002B53D8" w:rsidRPr="002B53D8">
        <w:rPr>
          <w:color w:val="FF0000"/>
          <w:szCs w:val="24"/>
          <w:lang w:val="en-GB"/>
        </w:rPr>
        <w:t>Withdrawn by submitter. CR superseded by CR1393.</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1993" w14:textId="77777777" w:rsidR="004D0B29" w:rsidRDefault="004D0B29">
      <w:r>
        <w:separator/>
      </w:r>
    </w:p>
  </w:endnote>
  <w:endnote w:type="continuationSeparator" w:id="0">
    <w:p w14:paraId="1674D798" w14:textId="77777777" w:rsidR="004D0B29" w:rsidRDefault="004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5410" w14:textId="77777777" w:rsidR="002B53D8" w:rsidRDefault="002B5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0855453D" w:rsidR="00567F13" w:rsidRDefault="003358CD">
    <w:pPr>
      <w:pStyle w:val="Footer"/>
      <w:rPr>
        <w:rStyle w:val="PageNumber"/>
      </w:rPr>
    </w:pPr>
    <w:fldSimple w:instr=" FILENAME   \* MERGEFORMAT ">
      <w:r w:rsidR="002B53D8">
        <w:rPr>
          <w:noProof/>
        </w:rPr>
        <w:t>CR1281_CLS_fxtr014_017_Alignment_v4.docx</w:t>
      </w:r>
    </w:fldSimple>
    <w:r w:rsidR="00567F13">
      <w:tab/>
      <w:t xml:space="preserve">Produced by </w:t>
    </w:r>
    <w:r w:rsidR="00D12F07">
      <w:t>CLS</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0D4B" w14:textId="77777777" w:rsidR="002B53D8" w:rsidRDefault="002B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3DE2" w14:textId="77777777" w:rsidR="004D0B29" w:rsidRDefault="004D0B29">
      <w:r>
        <w:separator/>
      </w:r>
    </w:p>
  </w:footnote>
  <w:footnote w:type="continuationSeparator" w:id="0">
    <w:p w14:paraId="5640C00D" w14:textId="77777777" w:rsidR="004D0B29" w:rsidRDefault="004D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9460" w14:textId="77777777" w:rsidR="002B53D8" w:rsidRDefault="002B5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403E" w14:textId="6F94ECD2" w:rsidR="00787459" w:rsidRDefault="00787459" w:rsidP="00F65B83">
    <w:pPr>
      <w:pStyle w:val="Header"/>
      <w:spacing w:before="0"/>
      <w:rPr>
        <w:lang w:val="fr-BE"/>
      </w:rPr>
    </w:pPr>
  </w:p>
  <w:p w14:paraId="2E475D6D" w14:textId="3F5F6628" w:rsidR="00E74C04" w:rsidRPr="00801493" w:rsidRDefault="00801493">
    <w:pPr>
      <w:pStyle w:val="Header"/>
      <w:rPr>
        <w:lang w:val="fr-BE"/>
      </w:rPr>
    </w:pPr>
    <w:r>
      <w:rPr>
        <w:lang w:val="fr-BE"/>
      </w:rPr>
      <w:t xml:space="preserve">RA ID : </w:t>
    </w:r>
    <w:r w:rsidR="00A170B5">
      <w:rPr>
        <w:lang w:val="fr-BE"/>
      </w:rPr>
      <w:t>CR1281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C32A" w14:textId="77777777" w:rsidR="002B53D8" w:rsidRDefault="002B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11F36"/>
    <w:multiLevelType w:val="hybridMultilevel"/>
    <w:tmpl w:val="17D45E58"/>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5287057">
    <w:abstractNumId w:val="2"/>
  </w:num>
  <w:num w:numId="2" w16cid:durableId="302782251">
    <w:abstractNumId w:val="0"/>
  </w:num>
  <w:num w:numId="3" w16cid:durableId="338965657">
    <w:abstractNumId w:val="1"/>
  </w:num>
  <w:num w:numId="4" w16cid:durableId="1620914925">
    <w:abstractNumId w:val="3"/>
  </w:num>
  <w:num w:numId="5" w16cid:durableId="1359425987">
    <w:abstractNumId w:val="16"/>
  </w:num>
  <w:num w:numId="6" w16cid:durableId="1094205237">
    <w:abstractNumId w:val="8"/>
  </w:num>
  <w:num w:numId="7" w16cid:durableId="807630230">
    <w:abstractNumId w:val="11"/>
  </w:num>
  <w:num w:numId="8" w16cid:durableId="1997491096">
    <w:abstractNumId w:val="9"/>
  </w:num>
  <w:num w:numId="9" w16cid:durableId="1034647356">
    <w:abstractNumId w:val="15"/>
  </w:num>
  <w:num w:numId="10" w16cid:durableId="1868063695">
    <w:abstractNumId w:val="5"/>
  </w:num>
  <w:num w:numId="11" w16cid:durableId="1993748958">
    <w:abstractNumId w:val="7"/>
  </w:num>
  <w:num w:numId="12" w16cid:durableId="154497008">
    <w:abstractNumId w:val="10"/>
  </w:num>
  <w:num w:numId="13" w16cid:durableId="420758516">
    <w:abstractNumId w:val="4"/>
  </w:num>
  <w:num w:numId="14" w16cid:durableId="2076269514">
    <w:abstractNumId w:val="6"/>
  </w:num>
  <w:num w:numId="15" w16cid:durableId="1900020265">
    <w:abstractNumId w:val="13"/>
  </w:num>
  <w:num w:numId="16" w16cid:durableId="62337848">
    <w:abstractNumId w:val="12"/>
  </w:num>
  <w:num w:numId="17" w16cid:durableId="1991866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4CFC"/>
    <w:rsid w:val="000558EF"/>
    <w:rsid w:val="0006293F"/>
    <w:rsid w:val="00070308"/>
    <w:rsid w:val="00080D3A"/>
    <w:rsid w:val="000823AA"/>
    <w:rsid w:val="00082743"/>
    <w:rsid w:val="000837C7"/>
    <w:rsid w:val="00083C96"/>
    <w:rsid w:val="00091466"/>
    <w:rsid w:val="000A172E"/>
    <w:rsid w:val="000A20E4"/>
    <w:rsid w:val="000B2C02"/>
    <w:rsid w:val="000B3080"/>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B53D8"/>
    <w:rsid w:val="002D549A"/>
    <w:rsid w:val="002E014D"/>
    <w:rsid w:val="002E27A9"/>
    <w:rsid w:val="003006F2"/>
    <w:rsid w:val="003014E7"/>
    <w:rsid w:val="00303E94"/>
    <w:rsid w:val="00304151"/>
    <w:rsid w:val="00315397"/>
    <w:rsid w:val="00316F04"/>
    <w:rsid w:val="00320A89"/>
    <w:rsid w:val="0032270B"/>
    <w:rsid w:val="00324C6F"/>
    <w:rsid w:val="00332E8F"/>
    <w:rsid w:val="003358CD"/>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557B9"/>
    <w:rsid w:val="00462051"/>
    <w:rsid w:val="00465900"/>
    <w:rsid w:val="00473145"/>
    <w:rsid w:val="004744AF"/>
    <w:rsid w:val="004864FD"/>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2E52"/>
    <w:rsid w:val="006A7B96"/>
    <w:rsid w:val="006B20DC"/>
    <w:rsid w:val="006D4A37"/>
    <w:rsid w:val="006E2522"/>
    <w:rsid w:val="006E3DEC"/>
    <w:rsid w:val="006F3D8D"/>
    <w:rsid w:val="00706604"/>
    <w:rsid w:val="007118C4"/>
    <w:rsid w:val="00723DE0"/>
    <w:rsid w:val="00732595"/>
    <w:rsid w:val="0074349F"/>
    <w:rsid w:val="0075466C"/>
    <w:rsid w:val="00774921"/>
    <w:rsid w:val="00780203"/>
    <w:rsid w:val="00780877"/>
    <w:rsid w:val="00783891"/>
    <w:rsid w:val="00783E6C"/>
    <w:rsid w:val="00787459"/>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A10221"/>
    <w:rsid w:val="00A170B5"/>
    <w:rsid w:val="00A21B8D"/>
    <w:rsid w:val="00A22F1A"/>
    <w:rsid w:val="00A25B84"/>
    <w:rsid w:val="00A2755E"/>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CF7466"/>
    <w:rsid w:val="00D123C1"/>
    <w:rsid w:val="00D12F07"/>
    <w:rsid w:val="00D234FD"/>
    <w:rsid w:val="00D2600B"/>
    <w:rsid w:val="00D36802"/>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DD5219"/>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31F"/>
    <w:rsid w:val="00EC4454"/>
    <w:rsid w:val="00ED1FC8"/>
    <w:rsid w:val="00ED43BB"/>
    <w:rsid w:val="00EE43B0"/>
    <w:rsid w:val="00EF1E93"/>
    <w:rsid w:val="00EF3F75"/>
    <w:rsid w:val="00EF6661"/>
    <w:rsid w:val="00F13355"/>
    <w:rsid w:val="00F25441"/>
    <w:rsid w:val="00F260BE"/>
    <w:rsid w:val="00F33643"/>
    <w:rsid w:val="00F34C66"/>
    <w:rsid w:val="00F3743B"/>
    <w:rsid w:val="00F521A4"/>
    <w:rsid w:val="00F52C18"/>
    <w:rsid w:val="00F56866"/>
    <w:rsid w:val="00F62A6F"/>
    <w:rsid w:val="00F6410E"/>
    <w:rsid w:val="00F65B83"/>
    <w:rsid w:val="00F74EB6"/>
    <w:rsid w:val="00F8432C"/>
    <w:rsid w:val="00F91D83"/>
    <w:rsid w:val="00F91F93"/>
    <w:rsid w:val="00F93A64"/>
    <w:rsid w:val="00F94A2A"/>
    <w:rsid w:val="00FA112C"/>
    <w:rsid w:val="00FB56E2"/>
    <w:rsid w:val="00FC5011"/>
    <w:rsid w:val="00FD0B96"/>
    <w:rsid w:val="00FD2690"/>
    <w:rsid w:val="00FD54A5"/>
    <w:rsid w:val="00FD58BE"/>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styleId="UnresolvedMention">
    <w:name w:val="Unresolved Mention"/>
    <w:basedOn w:val="DefaultParagraphFont"/>
    <w:uiPriority w:val="99"/>
    <w:semiHidden/>
    <w:unhideWhenUsed/>
    <w:rsid w:val="00FF762E"/>
    <w:rPr>
      <w:color w:val="605E5C"/>
      <w:shd w:val="clear" w:color="auto" w:fill="E1DFDD"/>
    </w:rPr>
  </w:style>
  <w:style w:type="character" w:styleId="FollowedHyperlink">
    <w:name w:val="FollowedHyperlink"/>
    <w:basedOn w:val="DefaultParagraphFont"/>
    <w:rsid w:val="00787459"/>
    <w:rPr>
      <w:color w:val="954F72" w:themeColor="followedHyperlink"/>
      <w:u w:val="single"/>
    </w:rPr>
  </w:style>
  <w:style w:type="paragraph" w:styleId="ListParagraph">
    <w:name w:val="List Paragraph"/>
    <w:basedOn w:val="Normal"/>
    <w:uiPriority w:val="34"/>
    <w:qFormat/>
    <w:rsid w:val="00CF7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so20022.org/catalogue_of_messages.pag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so20022.org/maintenance-iso-20022-message-definitions-reques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703</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4710</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7</cp:revision>
  <cp:lastPrinted>2009-03-10T11:18:00Z</cp:lastPrinted>
  <dcterms:created xsi:type="dcterms:W3CDTF">2023-07-20T14:10:00Z</dcterms:created>
  <dcterms:modified xsi:type="dcterms:W3CDTF">2024-07-08T08:14:00Z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TitusGUID">
    <vt:lpwstr>922bd595-0425-4b43-a8c9-0716fa67f5d2</vt:lpwstr>
  </property>
  <property fmtid="{D5CDD505-2E9C-101B-9397-08002B2CF9AE}" pid="10" name="CLASSIFICATION">
    <vt:lpwstr>CONFIDENTIAL</vt:lpwstr>
  </property>
</Properties>
</file>