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0AFA" w14:textId="77777777" w:rsidR="00601030" w:rsidRPr="00865C2F" w:rsidRDefault="00601030" w:rsidP="00601030">
      <w:pPr>
        <w:jc w:val="center"/>
        <w:rPr>
          <w:b/>
          <w:smallCaps/>
          <w:szCs w:val="24"/>
          <w:lang w:val="en-GB"/>
        </w:rPr>
      </w:pPr>
      <w:r>
        <w:rPr>
          <w:b/>
          <w:smallCaps/>
          <w:szCs w:val="24"/>
          <w:lang w:val="en-GB"/>
        </w:rPr>
        <w:t>Change Request</w:t>
      </w:r>
    </w:p>
    <w:p w14:paraId="57DF03D3" w14:textId="5C5BD4D6" w:rsidR="00601030" w:rsidRPr="00601030" w:rsidRDefault="00601030" w:rsidP="00601030">
      <w:pPr>
        <w:jc w:val="center"/>
        <w:rPr>
          <w:b/>
          <w:smallCaps/>
          <w:szCs w:val="24"/>
          <w:lang w:val="en-GB"/>
        </w:rPr>
      </w:pPr>
      <w:r>
        <w:rPr>
          <w:b/>
          <w:smallCaps/>
          <w:szCs w:val="24"/>
          <w:lang w:val="en-GB"/>
        </w:rPr>
        <w:t xml:space="preserve">for the update of </w:t>
      </w:r>
      <w:r w:rsidRPr="00865C2F">
        <w:rPr>
          <w:b/>
          <w:smallCaps/>
          <w:szCs w:val="24"/>
          <w:lang w:val="en-GB"/>
        </w:rPr>
        <w:t>ISO 20022 financial repository</w:t>
      </w:r>
      <w:r>
        <w:rPr>
          <w:b/>
          <w:smallCaps/>
          <w:szCs w:val="24"/>
          <w:lang w:val="en-GB"/>
        </w:rPr>
        <w:t xml:space="preserve"> items</w:t>
      </w:r>
    </w:p>
    <w:p w14:paraId="781D3BE6" w14:textId="39C35A26" w:rsidR="00601030" w:rsidRDefault="00601030" w:rsidP="00601030">
      <w:pPr>
        <w:rPr>
          <w:i/>
          <w:szCs w:val="24"/>
          <w:lang w:val="en-GB"/>
        </w:rPr>
      </w:pPr>
      <w:r>
        <w:rPr>
          <w:i/>
          <w:szCs w:val="24"/>
          <w:lang w:val="en-GB"/>
        </w:rPr>
        <w:t xml:space="preserve">Note: the purpose of this document is to give guidelines to parties who want to introduce a request to change an existing ISO 20022 message(s), or update other items of the ISO 20022 financial repository. Such change requests are subject to the approval of the ISO 20022 Standards Evaluation Group(s) in charge of the related message/item or to the approval of the Technical Support Group (TSG), if the requested change relates to the Business Application Header (BAH). Please consult the iso20022.org website for additional details on the </w:t>
      </w:r>
      <w:hyperlink r:id="rId8" w:history="1">
        <w:r>
          <w:rPr>
            <w:rStyle w:val="Hyperlink"/>
            <w:i/>
            <w:szCs w:val="24"/>
            <w:lang w:val="en-GB"/>
          </w:rPr>
          <w:t>maintenance</w:t>
        </w:r>
        <w:r w:rsidRPr="001F7DFF">
          <w:rPr>
            <w:rStyle w:val="Hyperlink"/>
            <w:i/>
            <w:szCs w:val="24"/>
            <w:lang w:val="en-GB"/>
          </w:rPr>
          <w:t xml:space="preserve"> process</w:t>
        </w:r>
      </w:hyperlink>
      <w:r>
        <w:rPr>
          <w:i/>
          <w:szCs w:val="24"/>
          <w:lang w:val="en-GB"/>
        </w:rPr>
        <w:t xml:space="preserve">. Change requests are to be sent to </w:t>
      </w:r>
      <w:hyperlink r:id="rId9" w:history="1">
        <w:r w:rsidRPr="00AB6B4F">
          <w:rPr>
            <w:rStyle w:val="Hyperlink"/>
            <w:i/>
            <w:szCs w:val="24"/>
            <w:lang w:val="en-GB"/>
          </w:rPr>
          <w:t>iso20022ra@iso20022.org</w:t>
        </w:r>
      </w:hyperlink>
      <w:r>
        <w:rPr>
          <w:i/>
          <w:szCs w:val="24"/>
          <w:lang w:val="en-GB"/>
        </w:rPr>
        <w:t>. All change requests conforming to this template received by June 1</w:t>
      </w:r>
      <w:r w:rsidRPr="00E928F1">
        <w:rPr>
          <w:i/>
          <w:szCs w:val="24"/>
          <w:vertAlign w:val="superscript"/>
          <w:lang w:val="en-GB"/>
        </w:rPr>
        <w:t>st</w:t>
      </w:r>
      <w:r>
        <w:rPr>
          <w:i/>
          <w:szCs w:val="24"/>
          <w:lang w:val="en-GB"/>
        </w:rPr>
        <w:t xml:space="preserve"> will be considered for development in the following yearly ISO 20022 maintenance cycle which completes with publication of new message versions in April/May of the following year. </w:t>
      </w:r>
    </w:p>
    <w:p w14:paraId="166624FF" w14:textId="77777777" w:rsidR="00601030" w:rsidRDefault="00601030" w:rsidP="00601030">
      <w:pPr>
        <w:rPr>
          <w:i/>
          <w:szCs w:val="24"/>
          <w:lang w:val="en-GB"/>
        </w:rPr>
      </w:pPr>
    </w:p>
    <w:p w14:paraId="0EC2C6D4" w14:textId="77777777" w:rsidR="00601030" w:rsidRDefault="00601030" w:rsidP="00601030">
      <w:pPr>
        <w:pStyle w:val="Heading1"/>
        <w:jc w:val="both"/>
        <w:rPr>
          <w:rFonts w:ascii="Times New Roman" w:hAnsi="Times New Roman"/>
          <w:sz w:val="24"/>
          <w:szCs w:val="24"/>
        </w:rPr>
      </w:pPr>
      <w:bookmarkStart w:id="0" w:name="_Toc146810361"/>
      <w:r w:rsidRPr="00971A0F">
        <w:rPr>
          <w:rFonts w:ascii="Times New Roman" w:hAnsi="Times New Roman"/>
          <w:sz w:val="24"/>
          <w:szCs w:val="24"/>
        </w:rPr>
        <w:t>Change request MT CR</w:t>
      </w:r>
      <w:bookmarkEnd w:id="0"/>
      <w:r>
        <w:rPr>
          <w:rFonts w:ascii="Times New Roman" w:hAnsi="Times New Roman"/>
          <w:sz w:val="24"/>
          <w:szCs w:val="24"/>
        </w:rPr>
        <w:t xml:space="preserve"> 001778: SWIFT release 2025</w:t>
      </w:r>
      <w:r w:rsidRPr="00971A0F">
        <w:rPr>
          <w:rFonts w:ascii="Times New Roman" w:hAnsi="Times New Roman"/>
          <w:sz w:val="24"/>
          <w:szCs w:val="24"/>
        </w:rPr>
        <w:t xml:space="preserve"> - Add new information </w:t>
      </w:r>
      <w:r>
        <w:rPr>
          <w:rFonts w:ascii="Times New Roman" w:hAnsi="Times New Roman"/>
          <w:sz w:val="24"/>
          <w:szCs w:val="24"/>
        </w:rPr>
        <w:t>regarding a partially released quantity</w:t>
      </w:r>
      <w:r w:rsidRPr="00971A0F">
        <w:rPr>
          <w:rFonts w:ascii="Times New Roman" w:hAnsi="Times New Roman"/>
          <w:sz w:val="24"/>
          <w:szCs w:val="24"/>
        </w:rPr>
        <w:t xml:space="preserve"> (changes required in semt.022 to include “PREL” code)</w:t>
      </w:r>
    </w:p>
    <w:p w14:paraId="78E81926" w14:textId="77777777" w:rsidR="00601030" w:rsidRPr="00601030" w:rsidRDefault="00601030" w:rsidP="00601030">
      <w:pPr>
        <w:rPr>
          <w:i/>
          <w:szCs w:val="24"/>
        </w:rPr>
      </w:pPr>
    </w:p>
    <w:p w14:paraId="148FD8AC" w14:textId="77777777" w:rsidR="00601030" w:rsidRPr="001863C2" w:rsidRDefault="00601030" w:rsidP="001863C2">
      <w:pPr>
        <w:pStyle w:val="Heading2"/>
        <w:numPr>
          <w:ilvl w:val="0"/>
          <w:numId w:val="6"/>
        </w:numPr>
        <w:tabs>
          <w:tab w:val="left" w:pos="567"/>
        </w:tabs>
        <w:jc w:val="both"/>
        <w:rPr>
          <w:rFonts w:ascii="Times New Roman" w:hAnsi="Times New Roman"/>
          <w:sz w:val="24"/>
          <w:szCs w:val="24"/>
          <w:lang w:val="en-GB"/>
        </w:rPr>
      </w:pPr>
      <w:r w:rsidRPr="001863C2">
        <w:rPr>
          <w:rFonts w:ascii="Times New Roman" w:hAnsi="Times New Roman"/>
          <w:sz w:val="24"/>
          <w:szCs w:val="24"/>
          <w:lang w:val="en-GB"/>
        </w:rPr>
        <w:t>Origin of the request:</w:t>
      </w:r>
    </w:p>
    <w:p w14:paraId="702D8690" w14:textId="77777777" w:rsidR="00F9221D" w:rsidRDefault="00601030" w:rsidP="00601030">
      <w:pPr>
        <w:rPr>
          <w:szCs w:val="24"/>
          <w:lang w:val="en-GB"/>
        </w:rPr>
      </w:pPr>
      <w:r w:rsidRPr="008438AF">
        <w:rPr>
          <w:i/>
          <w:szCs w:val="24"/>
          <w:lang w:val="en-GB"/>
        </w:rPr>
        <w:t>A.1 Submitter</w:t>
      </w:r>
      <w:r>
        <w:rPr>
          <w:szCs w:val="24"/>
          <w:lang w:val="en-GB"/>
        </w:rPr>
        <w:t xml:space="preserve">: </w:t>
      </w:r>
    </w:p>
    <w:p w14:paraId="6D780A89" w14:textId="0A2D0141" w:rsidR="00601030" w:rsidRDefault="00F9221D" w:rsidP="00F9221D">
      <w:pPr>
        <w:pStyle w:val="ListParagraph"/>
        <w:ind w:left="360"/>
        <w:rPr>
          <w:szCs w:val="24"/>
          <w:lang w:val="en-GB"/>
        </w:rPr>
      </w:pPr>
      <w:r w:rsidRPr="004E7948">
        <w:rPr>
          <w:szCs w:val="24"/>
          <w:lang w:val="en-GB"/>
        </w:rPr>
        <w:t xml:space="preserve">- </w:t>
      </w:r>
      <w:r w:rsidR="00601030" w:rsidRPr="004E7948">
        <w:rPr>
          <w:szCs w:val="24"/>
          <w:lang w:val="en-GB"/>
        </w:rPr>
        <w:t xml:space="preserve">Deutsche Bundesbank on behalf of the </w:t>
      </w:r>
      <w:proofErr w:type="spellStart"/>
      <w:r w:rsidR="00601030" w:rsidRPr="004E7948">
        <w:rPr>
          <w:szCs w:val="24"/>
          <w:lang w:val="en-GB"/>
        </w:rPr>
        <w:t>Eurosystem</w:t>
      </w:r>
      <w:proofErr w:type="spellEnd"/>
      <w:r w:rsidR="00601030" w:rsidRPr="004E7948">
        <w:rPr>
          <w:szCs w:val="24"/>
          <w:lang w:val="en-GB"/>
        </w:rPr>
        <w:t xml:space="preserve"> / 4CB</w:t>
      </w:r>
    </w:p>
    <w:p w14:paraId="7B95DD4C" w14:textId="1E676B3C" w:rsidR="004E7948" w:rsidRPr="004E7948" w:rsidRDefault="004E7948" w:rsidP="004E7948">
      <w:pPr>
        <w:pStyle w:val="ListParagraph"/>
        <w:ind w:left="360"/>
        <w:rPr>
          <w:szCs w:val="24"/>
          <w:lang w:val="en-GB"/>
        </w:rPr>
      </w:pPr>
      <w:r>
        <w:rPr>
          <w:szCs w:val="24"/>
          <w:lang w:val="en-GB"/>
        </w:rPr>
        <w:t>- TARGET2-Securities</w:t>
      </w:r>
    </w:p>
    <w:p w14:paraId="36C7A906" w14:textId="5AB64E46" w:rsidR="005C05BA" w:rsidRPr="00F8514A" w:rsidRDefault="005C05BA" w:rsidP="005C05BA">
      <w:pPr>
        <w:rPr>
          <w:szCs w:val="24"/>
          <w:lang w:val="en-GB"/>
        </w:rPr>
      </w:pPr>
      <w:r w:rsidRPr="00F8514A">
        <w:rPr>
          <w:i/>
          <w:szCs w:val="24"/>
          <w:lang w:val="en-GB"/>
        </w:rPr>
        <w:t>A.2 Contact person:</w:t>
      </w:r>
      <w:r w:rsidRPr="00F8514A">
        <w:rPr>
          <w:szCs w:val="24"/>
          <w:lang w:val="en-GB"/>
        </w:rPr>
        <w:t xml:space="preserve"> </w:t>
      </w:r>
    </w:p>
    <w:p w14:paraId="24AC0F25" w14:textId="0D788491" w:rsidR="005C05BA" w:rsidRPr="003F270D" w:rsidRDefault="005C05BA" w:rsidP="005C05BA">
      <w:pPr>
        <w:pStyle w:val="ListParagraph"/>
        <w:ind w:left="360"/>
        <w:rPr>
          <w:szCs w:val="24"/>
          <w:lang w:val="de-DE"/>
        </w:rPr>
      </w:pPr>
      <w:r w:rsidRPr="003F270D">
        <w:rPr>
          <w:szCs w:val="24"/>
          <w:lang w:val="de-DE"/>
        </w:rPr>
        <w:t xml:space="preserve">- Stéphanie Radet, </w:t>
      </w:r>
      <w:hyperlink r:id="rId10" w:history="1">
        <w:r w:rsidR="003F270D" w:rsidRPr="006A7F9D">
          <w:rPr>
            <w:rStyle w:val="Hyperlink"/>
            <w:szCs w:val="24"/>
            <w:lang w:val="de-DE"/>
          </w:rPr>
          <w:t>stephanie.radet@bundesbank.de</w:t>
        </w:r>
      </w:hyperlink>
      <w:r w:rsidR="003F270D" w:rsidRPr="006A7F9D">
        <w:rPr>
          <w:szCs w:val="24"/>
          <w:lang w:val="de-DE"/>
        </w:rPr>
        <w:t xml:space="preserve">, </w:t>
      </w:r>
      <w:r w:rsidRPr="003F270D">
        <w:rPr>
          <w:szCs w:val="24"/>
          <w:lang w:val="de-DE"/>
        </w:rPr>
        <w:t>+49 69 9566-33528</w:t>
      </w:r>
    </w:p>
    <w:p w14:paraId="77CDB3B6" w14:textId="50AAD102" w:rsidR="005C05BA" w:rsidRPr="005C05BA" w:rsidRDefault="005C05BA" w:rsidP="005C05BA">
      <w:pPr>
        <w:pStyle w:val="ListParagraph"/>
        <w:ind w:left="360"/>
        <w:rPr>
          <w:szCs w:val="24"/>
          <w:lang w:val="de-DE"/>
        </w:rPr>
      </w:pPr>
      <w:r w:rsidRPr="005C05BA">
        <w:rPr>
          <w:szCs w:val="24"/>
          <w:lang w:val="de-DE"/>
        </w:rPr>
        <w:t xml:space="preserve">- Ann-Kristin Gonska, </w:t>
      </w:r>
      <w:hyperlink r:id="rId11" w:history="1">
        <w:r w:rsidR="003F270D" w:rsidRPr="006A7F9D">
          <w:rPr>
            <w:rStyle w:val="Hyperlink"/>
            <w:szCs w:val="24"/>
            <w:lang w:val="de-DE"/>
          </w:rPr>
          <w:t>ann-kristin.gonska@bundesbank.de</w:t>
        </w:r>
      </w:hyperlink>
      <w:r w:rsidR="003F270D" w:rsidRPr="006A7F9D">
        <w:rPr>
          <w:szCs w:val="24"/>
          <w:lang w:val="de-DE"/>
        </w:rPr>
        <w:t>,</w:t>
      </w:r>
      <w:r w:rsidR="003F270D">
        <w:rPr>
          <w:szCs w:val="24"/>
          <w:lang w:val="de-DE"/>
        </w:rPr>
        <w:t xml:space="preserve"> </w:t>
      </w:r>
      <w:r w:rsidRPr="005C05BA">
        <w:rPr>
          <w:szCs w:val="24"/>
          <w:lang w:val="de-DE"/>
        </w:rPr>
        <w:t>+49 69 9566-14278</w:t>
      </w:r>
    </w:p>
    <w:p w14:paraId="297452F1" w14:textId="77777777" w:rsidR="005C05BA" w:rsidRPr="005C05BA" w:rsidRDefault="005C05BA" w:rsidP="005C05BA">
      <w:pPr>
        <w:pStyle w:val="ListParagraph"/>
        <w:ind w:left="360"/>
        <w:rPr>
          <w:szCs w:val="24"/>
          <w:lang w:val="de-DE"/>
        </w:rPr>
      </w:pPr>
      <w:r w:rsidRPr="005C05BA">
        <w:rPr>
          <w:szCs w:val="24"/>
          <w:lang w:val="de-DE"/>
        </w:rPr>
        <w:t xml:space="preserve">- </w:t>
      </w:r>
      <w:r w:rsidR="00526D88">
        <w:fldChar w:fldCharType="begin"/>
      </w:r>
      <w:r w:rsidR="00526D88" w:rsidRPr="00526D88">
        <w:rPr>
          <w:lang w:val="en-US"/>
        </w:rPr>
        <w:instrText>HYPERLINK "mailto:t2s-fam@bundesbank.de"</w:instrText>
      </w:r>
      <w:r w:rsidR="00526D88">
        <w:fldChar w:fldCharType="separate"/>
      </w:r>
      <w:r w:rsidRPr="005C05BA">
        <w:rPr>
          <w:rStyle w:val="Hyperlink"/>
          <w:szCs w:val="24"/>
          <w:lang w:val="de-DE"/>
        </w:rPr>
        <w:t>t2s-fam@bundesbank.de</w:t>
      </w:r>
      <w:r w:rsidR="00526D88">
        <w:rPr>
          <w:rStyle w:val="Hyperlink"/>
          <w:szCs w:val="24"/>
          <w:lang w:val="de-DE"/>
        </w:rPr>
        <w:fldChar w:fldCharType="end"/>
      </w:r>
      <w:r w:rsidRPr="005C05BA">
        <w:rPr>
          <w:szCs w:val="24"/>
          <w:lang w:val="de-DE"/>
        </w:rPr>
        <w:t xml:space="preserve"> </w:t>
      </w:r>
    </w:p>
    <w:p w14:paraId="7FEFB734" w14:textId="0DBC7805" w:rsidR="00601030" w:rsidRPr="003F270D" w:rsidRDefault="00601030" w:rsidP="00601030">
      <w:pPr>
        <w:rPr>
          <w:szCs w:val="24"/>
          <w:lang w:val="en-GB"/>
        </w:rPr>
      </w:pPr>
      <w:r w:rsidRPr="003F270D">
        <w:rPr>
          <w:i/>
          <w:szCs w:val="24"/>
          <w:lang w:val="en-GB"/>
        </w:rPr>
        <w:t>A.3 Sponsors</w:t>
      </w:r>
      <w:r w:rsidRPr="003F270D">
        <w:rPr>
          <w:szCs w:val="24"/>
          <w:lang w:val="en-GB"/>
        </w:rPr>
        <w:t xml:space="preserve">: </w:t>
      </w:r>
    </w:p>
    <w:p w14:paraId="5934E928" w14:textId="77777777" w:rsidR="00F7236C" w:rsidRPr="004E7948" w:rsidRDefault="00F7236C" w:rsidP="00F7236C">
      <w:pPr>
        <w:pStyle w:val="ListParagraph"/>
        <w:ind w:left="360"/>
        <w:rPr>
          <w:szCs w:val="24"/>
          <w:lang w:val="en-GB"/>
        </w:rPr>
      </w:pPr>
      <w:r w:rsidRPr="004E7948">
        <w:rPr>
          <w:szCs w:val="24"/>
          <w:lang w:val="en-GB"/>
        </w:rPr>
        <w:t>- AMI-</w:t>
      </w:r>
      <w:proofErr w:type="spellStart"/>
      <w:r w:rsidRPr="004E7948">
        <w:rPr>
          <w:szCs w:val="24"/>
          <w:lang w:val="en-GB"/>
        </w:rPr>
        <w:t>SeCo</w:t>
      </w:r>
      <w:proofErr w:type="spellEnd"/>
      <w:r w:rsidRPr="004E7948">
        <w:rPr>
          <w:szCs w:val="24"/>
          <w:lang w:val="en-GB"/>
        </w:rPr>
        <w:t xml:space="preserve"> SEG Task Force on the Optimisation of T2S message customisation (TFOS)</w:t>
      </w:r>
    </w:p>
    <w:p w14:paraId="05BDCE6B" w14:textId="77777777" w:rsidR="00971A0F" w:rsidRPr="004E7948" w:rsidRDefault="00971A0F" w:rsidP="00971A0F">
      <w:pPr>
        <w:rPr>
          <w:lang w:val="en-GB"/>
        </w:rPr>
      </w:pPr>
    </w:p>
    <w:p w14:paraId="1771EA28" w14:textId="77777777" w:rsidR="00971A0F" w:rsidRPr="00971A0F" w:rsidRDefault="00971A0F" w:rsidP="005C05BA">
      <w:pPr>
        <w:pStyle w:val="Heading2"/>
        <w:numPr>
          <w:ilvl w:val="0"/>
          <w:numId w:val="6"/>
        </w:numPr>
        <w:tabs>
          <w:tab w:val="left" w:pos="567"/>
        </w:tabs>
        <w:jc w:val="both"/>
        <w:rPr>
          <w:rFonts w:ascii="Times New Roman" w:hAnsi="Times New Roman"/>
          <w:sz w:val="24"/>
          <w:szCs w:val="24"/>
          <w:lang w:val="en-GB"/>
        </w:rPr>
      </w:pPr>
      <w:r w:rsidRPr="00971A0F">
        <w:rPr>
          <w:rFonts w:ascii="Times New Roman" w:hAnsi="Times New Roman"/>
          <w:sz w:val="24"/>
          <w:szCs w:val="24"/>
          <w:lang w:val="en-GB"/>
        </w:rPr>
        <w:t>Related messages:</w:t>
      </w:r>
    </w:p>
    <w:p w14:paraId="0830C17F" w14:textId="6BA1030D" w:rsidR="00971A0F" w:rsidRDefault="00B60438" w:rsidP="00971A0F">
      <w:pPr>
        <w:jc w:val="both"/>
        <w:rPr>
          <w:lang w:val="en-GB"/>
        </w:rPr>
      </w:pPr>
      <w:r w:rsidRPr="00B60438">
        <w:rPr>
          <w:lang w:val="en-GB"/>
        </w:rPr>
        <w:t xml:space="preserve">semt.022.001.05 </w:t>
      </w:r>
      <w:r>
        <w:rPr>
          <w:lang w:val="en-GB"/>
        </w:rPr>
        <w:t xml:space="preserve">- </w:t>
      </w:r>
      <w:r w:rsidRPr="00B60438">
        <w:rPr>
          <w:lang w:val="en-GB"/>
        </w:rPr>
        <w:t>Securities Settlement Transaction Audit Trail Report V05</w:t>
      </w:r>
    </w:p>
    <w:p w14:paraId="676EABD2" w14:textId="77777777" w:rsidR="00971A0F" w:rsidRDefault="00971A0F" w:rsidP="00971A0F">
      <w:pPr>
        <w:jc w:val="both"/>
        <w:rPr>
          <w:lang w:val="en-GB"/>
        </w:rPr>
      </w:pPr>
    </w:p>
    <w:p w14:paraId="19F7D0C4" w14:textId="77777777" w:rsidR="00971A0F" w:rsidRPr="00971A0F" w:rsidRDefault="00971A0F" w:rsidP="005C05BA">
      <w:pPr>
        <w:pStyle w:val="Heading2"/>
        <w:numPr>
          <w:ilvl w:val="0"/>
          <w:numId w:val="6"/>
        </w:numPr>
        <w:tabs>
          <w:tab w:val="left" w:pos="567"/>
        </w:tabs>
        <w:jc w:val="both"/>
        <w:rPr>
          <w:rFonts w:ascii="Times New Roman" w:hAnsi="Times New Roman"/>
          <w:sz w:val="24"/>
          <w:szCs w:val="24"/>
          <w:lang w:val="en-GB"/>
        </w:rPr>
      </w:pPr>
      <w:r w:rsidRPr="00971A0F">
        <w:rPr>
          <w:rFonts w:ascii="Times New Roman" w:hAnsi="Times New Roman"/>
          <w:sz w:val="24"/>
          <w:szCs w:val="24"/>
          <w:lang w:val="en-GB"/>
        </w:rPr>
        <w:t>Description of the change request:</w:t>
      </w:r>
    </w:p>
    <w:p w14:paraId="5310B423" w14:textId="7B210F8F" w:rsidR="00971A0F" w:rsidRDefault="00971A0F" w:rsidP="00760C8A">
      <w:pPr>
        <w:jc w:val="both"/>
      </w:pPr>
      <w:r w:rsidRPr="00450382">
        <w:t>The MT CR-1778</w:t>
      </w:r>
      <w:r>
        <w:t xml:space="preserve"> </w:t>
      </w:r>
      <w:r w:rsidR="00CC43D2">
        <w:t xml:space="preserve">changes stemming from SWIFT release 2022 </w:t>
      </w:r>
      <w:r w:rsidRPr="00450382">
        <w:t>changes were requested for ISO 15022 MT 548 and MT 537</w:t>
      </w:r>
      <w:r w:rsidR="00CC43D2">
        <w:t xml:space="preserve"> and</w:t>
      </w:r>
      <w:r w:rsidRPr="00450382">
        <w:t xml:space="preserve"> also in </w:t>
      </w:r>
      <w:r w:rsidR="008D57E2">
        <w:t xml:space="preserve">the </w:t>
      </w:r>
      <w:r w:rsidRPr="00450382">
        <w:t>equivalent ISO 20022</w:t>
      </w:r>
      <w:r>
        <w:t xml:space="preserve"> message</w:t>
      </w:r>
      <w:r w:rsidR="008D57E2">
        <w:t>s</w:t>
      </w:r>
      <w:r>
        <w:t>, sese.024 and semt.018</w:t>
      </w:r>
      <w:r w:rsidR="008D57E2">
        <w:t>.</w:t>
      </w:r>
      <w:r w:rsidRPr="00450382">
        <w:t xml:space="preserve"> </w:t>
      </w:r>
    </w:p>
    <w:p w14:paraId="5D209502" w14:textId="00D081FE" w:rsidR="00F7236C" w:rsidRDefault="00971A0F" w:rsidP="00760C8A">
      <w:pPr>
        <w:jc w:val="both"/>
      </w:pPr>
      <w:r w:rsidRPr="00450382">
        <w:t>The semt.022 (Securities Settlement Transaction Audit Trail Report)</w:t>
      </w:r>
      <w:r>
        <w:t xml:space="preserve"> </w:t>
      </w:r>
      <w:r w:rsidRPr="00450382">
        <w:t>is a pillar 3 T2S message with no equivalence in ISO 15022. Therefore, the change was not implemented</w:t>
      </w:r>
      <w:r w:rsidR="007672BC">
        <w:t xml:space="preserve"> in the semt.022 </w:t>
      </w:r>
      <w:r w:rsidR="007672BC">
        <w:lastRenderedPageBreak/>
        <w:t>message</w:t>
      </w:r>
      <w:r w:rsidRPr="00450382">
        <w:t xml:space="preserve">. </w:t>
      </w:r>
      <w:r w:rsidR="006B55DD">
        <w:t>Hence, this</w:t>
      </w:r>
      <w:r w:rsidR="00F9221D">
        <w:t xml:space="preserve"> ISO CR</w:t>
      </w:r>
      <w:r w:rsidRPr="00450382">
        <w:t xml:space="preserve"> </w:t>
      </w:r>
      <w:r w:rsidR="006B55DD">
        <w:t>focuses on</w:t>
      </w:r>
      <w:r w:rsidR="006B55DD" w:rsidRPr="00450382">
        <w:t xml:space="preserve"> </w:t>
      </w:r>
      <w:r w:rsidR="006B55DD">
        <w:t>changing</w:t>
      </w:r>
      <w:r w:rsidRPr="00450382">
        <w:t xml:space="preserve"> the T2S semt.022 base messa</w:t>
      </w:r>
      <w:r>
        <w:t>ge for Maintenance Release 2025 to a</w:t>
      </w:r>
      <w:r w:rsidRPr="00B521C6">
        <w:t xml:space="preserve">dd a new code </w:t>
      </w:r>
      <w:r>
        <w:t>‘PREL’</w:t>
      </w:r>
      <w:r w:rsidR="00AC57CF">
        <w:t xml:space="preserve"> </w:t>
      </w:r>
      <w:r w:rsidR="00AC57CF" w:rsidRPr="00AC57CF">
        <w:t>(Partially Released)</w:t>
      </w:r>
      <w:r w:rsidRPr="00B521C6">
        <w:t xml:space="preserve"> to qualifiers </w:t>
      </w:r>
      <w:r w:rsidR="00AC57CF">
        <w:t>‘</w:t>
      </w:r>
      <w:r w:rsidRPr="00B521C6">
        <w:t>PEND</w:t>
      </w:r>
      <w:r w:rsidR="00AC57CF">
        <w:t>’</w:t>
      </w:r>
      <w:r w:rsidRPr="00B521C6">
        <w:t xml:space="preserve"> </w:t>
      </w:r>
      <w:r>
        <w:t>(p</w:t>
      </w:r>
      <w:r w:rsidRPr="005E05E6">
        <w:t>ending</w:t>
      </w:r>
      <w:r>
        <w:t xml:space="preserve"> status) </w:t>
      </w:r>
      <w:r w:rsidRPr="00B521C6">
        <w:t xml:space="preserve">and </w:t>
      </w:r>
      <w:r w:rsidR="00AC57CF">
        <w:t>‘</w:t>
      </w:r>
      <w:r w:rsidRPr="00B521C6">
        <w:t>PENF</w:t>
      </w:r>
      <w:r w:rsidR="00AC57CF">
        <w:t>’</w:t>
      </w:r>
      <w:r>
        <w:t xml:space="preserve"> (f</w:t>
      </w:r>
      <w:r w:rsidRPr="005E05E6">
        <w:t>ailing</w:t>
      </w:r>
      <w:r w:rsidR="005C05BA">
        <w:t xml:space="preserve"> status):</w:t>
      </w:r>
    </w:p>
    <w:p w14:paraId="79E71E03" w14:textId="77777777" w:rsidR="00971A0F" w:rsidRPr="00AC57CF" w:rsidRDefault="00971A0F" w:rsidP="00760C8A">
      <w:pPr>
        <w:pStyle w:val="ListParagraph"/>
        <w:widowControl w:val="0"/>
        <w:numPr>
          <w:ilvl w:val="0"/>
          <w:numId w:val="18"/>
        </w:numPr>
        <w:autoSpaceDE w:val="0"/>
        <w:autoSpaceDN w:val="0"/>
        <w:adjustRightInd w:val="0"/>
        <w:rPr>
          <w:sz w:val="24"/>
          <w:szCs w:val="24"/>
          <w:lang w:val="en-GB"/>
        </w:rPr>
      </w:pPr>
      <w:r w:rsidRPr="00AC57CF">
        <w:rPr>
          <w:sz w:val="24"/>
          <w:szCs w:val="24"/>
          <w:lang w:val="en-GB"/>
        </w:rPr>
        <w:t>code ‘PREL’ to be made available as pending reason code:</w:t>
      </w:r>
    </w:p>
    <w:p w14:paraId="3277583F" w14:textId="77777777" w:rsidR="00971A0F" w:rsidRPr="00AC57CF" w:rsidRDefault="00971A0F" w:rsidP="00760C8A">
      <w:pPr>
        <w:pStyle w:val="ListParagraph"/>
        <w:widowControl w:val="0"/>
        <w:autoSpaceDE w:val="0"/>
        <w:autoSpaceDN w:val="0"/>
        <w:adjustRightInd w:val="0"/>
        <w:rPr>
          <w:sz w:val="24"/>
          <w:szCs w:val="24"/>
          <w:lang w:val="en-GB"/>
        </w:rPr>
      </w:pPr>
      <w:r w:rsidRPr="00AC57CF">
        <w:rPr>
          <w:sz w:val="24"/>
          <w:szCs w:val="24"/>
          <w:lang w:val="en-GB"/>
        </w:rPr>
        <w:t>/Document/</w:t>
      </w:r>
      <w:proofErr w:type="spellStart"/>
      <w:r w:rsidRPr="00AC57CF">
        <w:rPr>
          <w:sz w:val="24"/>
          <w:szCs w:val="24"/>
          <w:lang w:val="en-GB"/>
        </w:rPr>
        <w:t>SctiesSttlmTxAudtTrlRpt</w:t>
      </w:r>
      <w:proofErr w:type="spellEnd"/>
      <w:r w:rsidRPr="00AC57CF">
        <w:rPr>
          <w:sz w:val="24"/>
          <w:szCs w:val="24"/>
          <w:lang w:val="en-GB"/>
        </w:rPr>
        <w:t>/</w:t>
      </w:r>
      <w:proofErr w:type="spellStart"/>
      <w:r w:rsidRPr="00AC57CF">
        <w:rPr>
          <w:sz w:val="24"/>
          <w:szCs w:val="24"/>
          <w:lang w:val="en-GB"/>
        </w:rPr>
        <w:t>StsTrl</w:t>
      </w:r>
      <w:proofErr w:type="spellEnd"/>
      <w:r w:rsidRPr="00AC57CF">
        <w:rPr>
          <w:sz w:val="24"/>
          <w:szCs w:val="24"/>
          <w:lang w:val="en-GB"/>
        </w:rPr>
        <w:t>/</w:t>
      </w:r>
      <w:proofErr w:type="spellStart"/>
      <w:r w:rsidRPr="00AC57CF">
        <w:rPr>
          <w:sz w:val="24"/>
          <w:szCs w:val="24"/>
          <w:lang w:val="en-GB"/>
        </w:rPr>
        <w:t>SttlmSts</w:t>
      </w:r>
      <w:proofErr w:type="spellEnd"/>
      <w:r w:rsidRPr="00AC57CF">
        <w:rPr>
          <w:sz w:val="24"/>
          <w:szCs w:val="24"/>
          <w:lang w:val="en-GB"/>
        </w:rPr>
        <w:t>/</w:t>
      </w:r>
      <w:proofErr w:type="spellStart"/>
      <w:r w:rsidRPr="00AC57CF">
        <w:rPr>
          <w:sz w:val="24"/>
          <w:szCs w:val="24"/>
          <w:lang w:val="en-GB"/>
        </w:rPr>
        <w:t>Pdg</w:t>
      </w:r>
      <w:proofErr w:type="spellEnd"/>
      <w:r w:rsidRPr="00AC57CF">
        <w:rPr>
          <w:sz w:val="24"/>
          <w:szCs w:val="24"/>
          <w:lang w:val="en-GB"/>
        </w:rPr>
        <w:t>/</w:t>
      </w:r>
      <w:proofErr w:type="spellStart"/>
      <w:r w:rsidRPr="00AC57CF">
        <w:rPr>
          <w:sz w:val="24"/>
          <w:szCs w:val="24"/>
          <w:lang w:val="en-GB"/>
        </w:rPr>
        <w:t>Rsn</w:t>
      </w:r>
      <w:proofErr w:type="spellEnd"/>
      <w:r w:rsidRPr="00AC57CF">
        <w:rPr>
          <w:sz w:val="24"/>
          <w:szCs w:val="24"/>
          <w:lang w:val="en-GB"/>
        </w:rPr>
        <w:t>/Cd/Cd</w:t>
      </w:r>
    </w:p>
    <w:p w14:paraId="278125CE" w14:textId="77777777" w:rsidR="00971A0F" w:rsidRPr="00AC57CF" w:rsidRDefault="00971A0F" w:rsidP="00971A0F">
      <w:pPr>
        <w:pStyle w:val="ListParagraph"/>
        <w:widowControl w:val="0"/>
        <w:autoSpaceDE w:val="0"/>
        <w:autoSpaceDN w:val="0"/>
        <w:adjustRightInd w:val="0"/>
        <w:jc w:val="left"/>
        <w:rPr>
          <w:sz w:val="24"/>
          <w:szCs w:val="24"/>
          <w:lang w:val="en-GB"/>
        </w:rPr>
      </w:pPr>
    </w:p>
    <w:p w14:paraId="20941D2A" w14:textId="77777777" w:rsidR="00971A0F" w:rsidRPr="00AC57CF" w:rsidRDefault="00971A0F" w:rsidP="00971A0F">
      <w:pPr>
        <w:pStyle w:val="ListParagraph"/>
        <w:widowControl w:val="0"/>
        <w:numPr>
          <w:ilvl w:val="0"/>
          <w:numId w:val="18"/>
        </w:numPr>
        <w:autoSpaceDE w:val="0"/>
        <w:autoSpaceDN w:val="0"/>
        <w:adjustRightInd w:val="0"/>
        <w:jc w:val="left"/>
        <w:rPr>
          <w:sz w:val="24"/>
          <w:szCs w:val="24"/>
          <w:lang w:val="en-GB"/>
        </w:rPr>
      </w:pPr>
      <w:r w:rsidRPr="00AC57CF">
        <w:rPr>
          <w:sz w:val="24"/>
          <w:szCs w:val="24"/>
          <w:lang w:val="en-GB"/>
        </w:rPr>
        <w:t>code ‘PREL’ to be made available as failing reason code:</w:t>
      </w:r>
    </w:p>
    <w:p w14:paraId="6D2F991D" w14:textId="77777777" w:rsidR="00971A0F" w:rsidRPr="00AC57CF" w:rsidRDefault="00971A0F" w:rsidP="00971A0F">
      <w:pPr>
        <w:pStyle w:val="ListParagraph"/>
        <w:widowControl w:val="0"/>
        <w:autoSpaceDE w:val="0"/>
        <w:autoSpaceDN w:val="0"/>
        <w:adjustRightInd w:val="0"/>
        <w:jc w:val="left"/>
        <w:rPr>
          <w:sz w:val="24"/>
          <w:szCs w:val="24"/>
          <w:lang w:val="en-GB"/>
        </w:rPr>
      </w:pPr>
      <w:r w:rsidRPr="00AC57CF">
        <w:rPr>
          <w:sz w:val="24"/>
          <w:szCs w:val="24"/>
          <w:lang w:val="en-GB"/>
        </w:rPr>
        <w:t>/Document/</w:t>
      </w:r>
      <w:proofErr w:type="spellStart"/>
      <w:r w:rsidRPr="00AC57CF">
        <w:rPr>
          <w:sz w:val="24"/>
          <w:szCs w:val="24"/>
          <w:lang w:val="en-GB"/>
        </w:rPr>
        <w:t>SctiesSttlmTxAudtTrlRpt</w:t>
      </w:r>
      <w:proofErr w:type="spellEnd"/>
      <w:r w:rsidRPr="00AC57CF">
        <w:rPr>
          <w:sz w:val="24"/>
          <w:szCs w:val="24"/>
          <w:lang w:val="en-GB"/>
        </w:rPr>
        <w:t>/</w:t>
      </w:r>
      <w:proofErr w:type="spellStart"/>
      <w:r w:rsidRPr="00AC57CF">
        <w:rPr>
          <w:sz w:val="24"/>
          <w:szCs w:val="24"/>
          <w:lang w:val="en-GB"/>
        </w:rPr>
        <w:t>StsTrl</w:t>
      </w:r>
      <w:proofErr w:type="spellEnd"/>
      <w:r w:rsidRPr="00AC57CF">
        <w:rPr>
          <w:sz w:val="24"/>
          <w:szCs w:val="24"/>
          <w:lang w:val="en-GB"/>
        </w:rPr>
        <w:t>/</w:t>
      </w:r>
      <w:proofErr w:type="spellStart"/>
      <w:r w:rsidRPr="00AC57CF">
        <w:rPr>
          <w:sz w:val="24"/>
          <w:szCs w:val="24"/>
          <w:lang w:val="en-GB"/>
        </w:rPr>
        <w:t>SttlmSts</w:t>
      </w:r>
      <w:proofErr w:type="spellEnd"/>
      <w:r w:rsidRPr="00AC57CF">
        <w:rPr>
          <w:sz w:val="24"/>
          <w:szCs w:val="24"/>
          <w:lang w:val="en-GB"/>
        </w:rPr>
        <w:t>/</w:t>
      </w:r>
      <w:proofErr w:type="spellStart"/>
      <w:r w:rsidRPr="00AC57CF">
        <w:rPr>
          <w:sz w:val="24"/>
          <w:szCs w:val="24"/>
          <w:lang w:val="en-GB"/>
        </w:rPr>
        <w:t>Flng</w:t>
      </w:r>
      <w:proofErr w:type="spellEnd"/>
      <w:r w:rsidRPr="00AC57CF">
        <w:rPr>
          <w:sz w:val="24"/>
          <w:szCs w:val="24"/>
          <w:lang w:val="en-GB"/>
        </w:rPr>
        <w:t>/</w:t>
      </w:r>
      <w:proofErr w:type="spellStart"/>
      <w:r w:rsidRPr="00AC57CF">
        <w:rPr>
          <w:sz w:val="24"/>
          <w:szCs w:val="24"/>
          <w:lang w:val="en-GB"/>
        </w:rPr>
        <w:t>Rsn</w:t>
      </w:r>
      <w:proofErr w:type="spellEnd"/>
      <w:r w:rsidRPr="00AC57CF">
        <w:rPr>
          <w:sz w:val="24"/>
          <w:szCs w:val="24"/>
          <w:lang w:val="en-GB"/>
        </w:rPr>
        <w:t>/Cd/Cd</w:t>
      </w:r>
    </w:p>
    <w:p w14:paraId="086FE245" w14:textId="77777777" w:rsidR="00971A0F" w:rsidRDefault="00971A0F" w:rsidP="00971A0F">
      <w:pPr>
        <w:jc w:val="both"/>
        <w:rPr>
          <w:lang w:val="en-GB"/>
        </w:rPr>
      </w:pPr>
      <w:r>
        <w:rPr>
          <w:noProof/>
          <w:lang w:val="de-DE" w:eastAsia="de-DE"/>
        </w:rPr>
        <w:drawing>
          <wp:inline distT="0" distB="0" distL="0" distR="0" wp14:anchorId="5ECF9EBE" wp14:editId="5331D0E6">
            <wp:extent cx="5750885" cy="4245996"/>
            <wp:effectExtent l="19050" t="19050" r="21590" b="215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3508" cy="4284849"/>
                    </a:xfrm>
                    <a:prstGeom prst="rect">
                      <a:avLst/>
                    </a:prstGeom>
                    <a:noFill/>
                    <a:ln>
                      <a:solidFill>
                        <a:schemeClr val="tx1"/>
                      </a:solidFill>
                    </a:ln>
                  </pic:spPr>
                </pic:pic>
              </a:graphicData>
            </a:graphic>
          </wp:inline>
        </w:drawing>
      </w:r>
    </w:p>
    <w:p w14:paraId="378EC492" w14:textId="77777777" w:rsidR="00971A0F" w:rsidRPr="00971A0F" w:rsidRDefault="00971A0F" w:rsidP="005C05BA">
      <w:pPr>
        <w:pStyle w:val="Heading2"/>
        <w:numPr>
          <w:ilvl w:val="0"/>
          <w:numId w:val="6"/>
        </w:numPr>
        <w:tabs>
          <w:tab w:val="left" w:pos="567"/>
        </w:tabs>
        <w:jc w:val="both"/>
        <w:rPr>
          <w:rFonts w:ascii="Times New Roman" w:hAnsi="Times New Roman"/>
          <w:sz w:val="24"/>
          <w:szCs w:val="24"/>
          <w:lang w:val="en-GB"/>
        </w:rPr>
      </w:pPr>
      <w:r w:rsidRPr="00971A0F">
        <w:rPr>
          <w:rFonts w:ascii="Times New Roman" w:hAnsi="Times New Roman"/>
          <w:sz w:val="24"/>
          <w:szCs w:val="24"/>
          <w:lang w:val="en-GB"/>
        </w:rPr>
        <w:t>Purpose of the change:</w:t>
      </w:r>
    </w:p>
    <w:p w14:paraId="7B17F0BF" w14:textId="682E6E78" w:rsidR="00971A0F" w:rsidRPr="009C1AAC" w:rsidRDefault="00971A0F" w:rsidP="00971A0F">
      <w:pPr>
        <w:jc w:val="both"/>
        <w:rPr>
          <w:lang w:val="en-GB"/>
        </w:rPr>
      </w:pPr>
      <w:r>
        <w:rPr>
          <w:lang w:val="en-GB"/>
        </w:rPr>
        <w:t>T</w:t>
      </w:r>
      <w:r w:rsidRPr="009C1AAC">
        <w:rPr>
          <w:lang w:val="en-GB"/>
        </w:rPr>
        <w:t>he proposed chan</w:t>
      </w:r>
      <w:r>
        <w:rPr>
          <w:lang w:val="en-GB"/>
        </w:rPr>
        <w:t xml:space="preserve">ge is to add a new reason code </w:t>
      </w:r>
      <w:r w:rsidR="00AC57CF">
        <w:rPr>
          <w:lang w:val="en-GB"/>
        </w:rPr>
        <w:t>‘</w:t>
      </w:r>
      <w:r>
        <w:rPr>
          <w:lang w:val="en-GB"/>
        </w:rPr>
        <w:t>PREL’</w:t>
      </w:r>
      <w:r w:rsidRPr="009C1AAC">
        <w:rPr>
          <w:lang w:val="en-GB"/>
        </w:rPr>
        <w:t xml:space="preserve"> </w:t>
      </w:r>
      <w:r w:rsidR="00AC57CF" w:rsidRPr="00AC57CF">
        <w:t>(Partially Released)</w:t>
      </w:r>
      <w:r w:rsidR="00AC57CF" w:rsidRPr="00B521C6">
        <w:t xml:space="preserve"> </w:t>
      </w:r>
      <w:r w:rsidRPr="009C1AAC">
        <w:rPr>
          <w:lang w:val="en-GB"/>
        </w:rPr>
        <w:t xml:space="preserve">to the </w:t>
      </w:r>
      <w:r w:rsidR="008D57E2">
        <w:rPr>
          <w:lang w:val="en-GB"/>
        </w:rPr>
        <w:t xml:space="preserve">qualifiers </w:t>
      </w:r>
      <w:r w:rsidR="00AC57CF">
        <w:rPr>
          <w:lang w:val="en-GB"/>
        </w:rPr>
        <w:t>‘</w:t>
      </w:r>
      <w:r w:rsidRPr="009C1AAC">
        <w:rPr>
          <w:lang w:val="en-GB"/>
        </w:rPr>
        <w:t>PEND</w:t>
      </w:r>
      <w:r w:rsidR="00AC57CF">
        <w:rPr>
          <w:lang w:val="en-GB"/>
        </w:rPr>
        <w:t>’</w:t>
      </w:r>
      <w:r w:rsidRPr="009C1AAC">
        <w:rPr>
          <w:lang w:val="en-GB"/>
        </w:rPr>
        <w:t xml:space="preserve"> (pending) and </w:t>
      </w:r>
      <w:r w:rsidR="00AC57CF">
        <w:rPr>
          <w:lang w:val="en-GB"/>
        </w:rPr>
        <w:t>‘</w:t>
      </w:r>
      <w:r w:rsidRPr="009C1AAC">
        <w:rPr>
          <w:lang w:val="en-GB"/>
        </w:rPr>
        <w:t>PENF</w:t>
      </w:r>
      <w:r w:rsidR="00AC57CF">
        <w:rPr>
          <w:lang w:val="en-GB"/>
        </w:rPr>
        <w:t>’</w:t>
      </w:r>
      <w:r w:rsidRPr="009C1AAC">
        <w:rPr>
          <w:lang w:val="en-GB"/>
        </w:rPr>
        <w:t xml:space="preserve"> (failing) status to advise the partially released status of a specific transaction during its whole life cycle.</w:t>
      </w:r>
    </w:p>
    <w:p w14:paraId="4AEF488B" w14:textId="2C65F736" w:rsidR="008D57E2" w:rsidRDefault="00971A0F" w:rsidP="008D57E2">
      <w:pPr>
        <w:autoSpaceDE w:val="0"/>
        <w:autoSpaceDN w:val="0"/>
        <w:rPr>
          <w:sz w:val="22"/>
        </w:rPr>
      </w:pPr>
      <w:r w:rsidRPr="009C1AAC">
        <w:rPr>
          <w:lang w:val="en-GB"/>
        </w:rPr>
        <w:t>Some institutions (CSD/ICSD or direct</w:t>
      </w:r>
      <w:r>
        <w:rPr>
          <w:lang w:val="en-GB"/>
        </w:rPr>
        <w:t xml:space="preserve">ly connected T2S party) may </w:t>
      </w:r>
      <w:r w:rsidR="008D57E2">
        <w:rPr>
          <w:lang w:val="en-GB"/>
        </w:rPr>
        <w:t>have</w:t>
      </w:r>
      <w:r w:rsidRPr="009C1AAC">
        <w:rPr>
          <w:lang w:val="en-GB"/>
        </w:rPr>
        <w:t xml:space="preserve"> to include the partially released status in the history of all the statuses of a specific transacti</w:t>
      </w:r>
      <w:r>
        <w:rPr>
          <w:lang w:val="en-GB"/>
        </w:rPr>
        <w:t xml:space="preserve">on during its entire life cycle, </w:t>
      </w:r>
      <w:r w:rsidR="008D57E2" w:rsidRPr="00AC57CF">
        <w:rPr>
          <w:lang w:val="en-GB"/>
        </w:rPr>
        <w:t>as is the case for the semt.018 usage</w:t>
      </w:r>
      <w:r w:rsidR="008D57E2">
        <w:rPr>
          <w:lang w:val="en-GB"/>
        </w:rPr>
        <w:t>.</w:t>
      </w:r>
    </w:p>
    <w:p w14:paraId="0ABA8FE1" w14:textId="77777777" w:rsidR="00971A0F" w:rsidRDefault="00971A0F" w:rsidP="00971A0F">
      <w:pPr>
        <w:jc w:val="both"/>
        <w:rPr>
          <w:lang w:val="en-GB"/>
        </w:rPr>
      </w:pPr>
    </w:p>
    <w:p w14:paraId="322E62F0" w14:textId="77777777" w:rsidR="00971A0F" w:rsidRPr="00971A0F" w:rsidRDefault="00971A0F" w:rsidP="005C05BA">
      <w:pPr>
        <w:pStyle w:val="Heading2"/>
        <w:numPr>
          <w:ilvl w:val="0"/>
          <w:numId w:val="6"/>
        </w:numPr>
        <w:tabs>
          <w:tab w:val="left" w:pos="567"/>
        </w:tabs>
        <w:jc w:val="both"/>
        <w:rPr>
          <w:rFonts w:ascii="Times New Roman" w:hAnsi="Times New Roman"/>
          <w:sz w:val="24"/>
          <w:szCs w:val="24"/>
          <w:lang w:val="en-GB"/>
        </w:rPr>
      </w:pPr>
      <w:r w:rsidRPr="00971A0F">
        <w:rPr>
          <w:rFonts w:ascii="Times New Roman" w:hAnsi="Times New Roman"/>
          <w:sz w:val="24"/>
          <w:szCs w:val="24"/>
          <w:lang w:val="en-GB"/>
        </w:rPr>
        <w:t>Urgency of the request:</w:t>
      </w:r>
    </w:p>
    <w:p w14:paraId="24B24770" w14:textId="77777777" w:rsidR="004722C6" w:rsidRPr="004722C6" w:rsidRDefault="004722C6" w:rsidP="00AC57CF">
      <w:pPr>
        <w:jc w:val="both"/>
        <w:rPr>
          <w:lang w:val="en-GB"/>
        </w:rPr>
      </w:pPr>
      <w:r w:rsidRPr="004722C6">
        <w:rPr>
          <w:lang w:val="en-GB"/>
        </w:rPr>
        <w:t>We request the SEG to consider this change request for the next maintenance cycle.</w:t>
      </w:r>
    </w:p>
    <w:p w14:paraId="38964D81" w14:textId="5A4ADFB5" w:rsidR="00971A0F" w:rsidRDefault="008D57E2" w:rsidP="00971A0F">
      <w:pPr>
        <w:jc w:val="both"/>
        <w:rPr>
          <w:lang w:val="en-GB"/>
        </w:rPr>
      </w:pPr>
      <w:r>
        <w:rPr>
          <w:lang w:val="en-GB"/>
        </w:rPr>
        <w:lastRenderedPageBreak/>
        <w:t>It may allow the semt.018 and semt.022 usage alignment.</w:t>
      </w:r>
    </w:p>
    <w:p w14:paraId="6C0C5AEB" w14:textId="77777777" w:rsidR="00971A0F" w:rsidRPr="00971A0F" w:rsidRDefault="00971A0F" w:rsidP="005C05BA">
      <w:pPr>
        <w:pStyle w:val="Heading2"/>
        <w:numPr>
          <w:ilvl w:val="0"/>
          <w:numId w:val="6"/>
        </w:numPr>
        <w:tabs>
          <w:tab w:val="left" w:pos="567"/>
        </w:tabs>
        <w:jc w:val="both"/>
        <w:rPr>
          <w:rFonts w:ascii="Times New Roman" w:hAnsi="Times New Roman"/>
          <w:sz w:val="24"/>
          <w:szCs w:val="24"/>
          <w:lang w:val="en-GB"/>
        </w:rPr>
      </w:pPr>
      <w:r w:rsidRPr="00971A0F">
        <w:rPr>
          <w:rFonts w:ascii="Times New Roman" w:hAnsi="Times New Roman"/>
          <w:sz w:val="24"/>
          <w:szCs w:val="24"/>
          <w:lang w:val="en-GB"/>
        </w:rPr>
        <w:t>Business examples:</w:t>
      </w:r>
    </w:p>
    <w:p w14:paraId="3108E8E6" w14:textId="77777777" w:rsidR="00971A0F" w:rsidRPr="001F2AF5" w:rsidRDefault="00971A0F" w:rsidP="00971A0F">
      <w:pPr>
        <w:jc w:val="both"/>
        <w:rPr>
          <w:lang w:val="en-GB"/>
        </w:rPr>
      </w:pPr>
      <w:r w:rsidRPr="001F2AF5">
        <w:rPr>
          <w:lang w:val="en-GB"/>
        </w:rPr>
        <w:t xml:space="preserve">The Securities Settlement Transaction Audit Trail Report message (semt.022) is sent by T2S to a CSD or a directly connected T2S Party. </w:t>
      </w:r>
    </w:p>
    <w:p w14:paraId="3DDB9F63" w14:textId="77777777" w:rsidR="00971A0F" w:rsidRDefault="00971A0F" w:rsidP="00971A0F">
      <w:pPr>
        <w:jc w:val="both"/>
        <w:rPr>
          <w:lang w:val="en-GB"/>
        </w:rPr>
      </w:pPr>
      <w:r w:rsidRPr="001F2AF5">
        <w:rPr>
          <w:lang w:val="en-GB"/>
        </w:rPr>
        <w:t>The report provides historical data on all changes and amendments, including statuses, to a single security Settlement Instruction as identi</w:t>
      </w:r>
      <w:r>
        <w:rPr>
          <w:lang w:val="en-GB"/>
        </w:rPr>
        <w:t xml:space="preserve">fied within the query criteria </w:t>
      </w:r>
      <w:r w:rsidRPr="001F2AF5">
        <w:rPr>
          <w:lang w:val="en-GB"/>
        </w:rPr>
        <w:t>(either by the party’s instruction reference or by the T2S technical identifier) of the received Securities Transaction Status Query message (sese.021)</w:t>
      </w:r>
      <w:r>
        <w:rPr>
          <w:lang w:val="en-GB"/>
        </w:rPr>
        <w:t>.</w:t>
      </w:r>
    </w:p>
    <w:p w14:paraId="2D7E7F05" w14:textId="77777777" w:rsidR="00971A0F" w:rsidRDefault="00971A0F" w:rsidP="00971A0F">
      <w:pPr>
        <w:rPr>
          <w:lang w:val="en-GB"/>
        </w:rPr>
      </w:pPr>
    </w:p>
    <w:p w14:paraId="68DBA56D" w14:textId="77777777" w:rsidR="00971A0F" w:rsidRPr="002279A8" w:rsidRDefault="00971A0F" w:rsidP="00971A0F">
      <w:pPr>
        <w:rPr>
          <w:b/>
          <w:i/>
          <w:u w:val="single"/>
          <w:lang w:val="en-GB"/>
        </w:rPr>
      </w:pPr>
      <w:r w:rsidRPr="002279A8">
        <w:rPr>
          <w:b/>
          <w:i/>
          <w:u w:val="single"/>
          <w:lang w:val="en-GB"/>
        </w:rPr>
        <w:t>Communication flow:</w:t>
      </w:r>
    </w:p>
    <w:p w14:paraId="4D6632CB" w14:textId="77777777" w:rsidR="00971A0F" w:rsidRDefault="00971A0F" w:rsidP="00971A0F">
      <w:pPr>
        <w:rPr>
          <w:lang w:val="en-GB"/>
        </w:rPr>
      </w:pPr>
      <w:r>
        <w:rPr>
          <w:noProof/>
          <w:lang w:val="de-DE" w:eastAsia="de-DE"/>
        </w:rPr>
        <w:drawing>
          <wp:inline distT="0" distB="0" distL="0" distR="0" wp14:anchorId="3A9A9331" wp14:editId="2EA091D3">
            <wp:extent cx="5751528" cy="1447138"/>
            <wp:effectExtent l="0" t="0" r="190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6080" cy="1458348"/>
                    </a:xfrm>
                    <a:prstGeom prst="rect">
                      <a:avLst/>
                    </a:prstGeom>
                    <a:noFill/>
                    <a:ln>
                      <a:noFill/>
                    </a:ln>
                  </pic:spPr>
                </pic:pic>
              </a:graphicData>
            </a:graphic>
          </wp:inline>
        </w:drawing>
      </w:r>
    </w:p>
    <w:p w14:paraId="64B77AAC" w14:textId="77777777" w:rsidR="00971A0F" w:rsidRDefault="00971A0F" w:rsidP="00971A0F">
      <w:pPr>
        <w:rPr>
          <w:lang w:val="en-GB"/>
        </w:rPr>
      </w:pPr>
    </w:p>
    <w:p w14:paraId="6DEA0C05" w14:textId="77777777" w:rsidR="00971A0F" w:rsidRPr="002279A8" w:rsidRDefault="00971A0F" w:rsidP="00971A0F">
      <w:pPr>
        <w:rPr>
          <w:b/>
          <w:i/>
          <w:u w:val="single"/>
          <w:lang w:val="en-GB"/>
        </w:rPr>
      </w:pPr>
      <w:r w:rsidRPr="002279A8">
        <w:rPr>
          <w:b/>
          <w:i/>
          <w:u w:val="single"/>
          <w:lang w:val="en-GB"/>
        </w:rPr>
        <w:t>semt.022 message example:</w:t>
      </w:r>
    </w:p>
    <w:p w14:paraId="46DC1F77" w14:textId="77777777" w:rsidR="00971A0F" w:rsidRDefault="00971A0F" w:rsidP="00971A0F">
      <w:pPr>
        <w:jc w:val="both"/>
        <w:rPr>
          <w:lang w:val="en-GB"/>
        </w:rPr>
      </w:pPr>
      <w:r>
        <w:rPr>
          <w:noProof/>
          <w:lang w:val="de-DE" w:eastAsia="de-DE"/>
        </w:rPr>
        <w:lastRenderedPageBreak/>
        <w:drawing>
          <wp:inline distT="0" distB="0" distL="0" distR="0" wp14:anchorId="409152A5" wp14:editId="4369D58D">
            <wp:extent cx="5750958" cy="4333460"/>
            <wp:effectExtent l="19050" t="19050" r="21590" b="1016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5303" cy="4366875"/>
                    </a:xfrm>
                    <a:prstGeom prst="rect">
                      <a:avLst/>
                    </a:prstGeom>
                    <a:noFill/>
                    <a:ln>
                      <a:solidFill>
                        <a:schemeClr val="tx1"/>
                      </a:solidFill>
                    </a:ln>
                  </pic:spPr>
                </pic:pic>
              </a:graphicData>
            </a:graphic>
          </wp:inline>
        </w:drawing>
      </w:r>
    </w:p>
    <w:p w14:paraId="05AFF79E" w14:textId="77777777" w:rsidR="00971A0F" w:rsidRPr="002279A8" w:rsidRDefault="00971A0F" w:rsidP="00971A0F">
      <w:pPr>
        <w:jc w:val="both"/>
        <w:rPr>
          <w:lang w:val="en-GB"/>
        </w:rPr>
      </w:pPr>
      <w:r w:rsidRPr="002279A8">
        <w:rPr>
          <w:lang w:val="en-GB"/>
        </w:rPr>
        <w:t>In this example, T2S sends a Securities Settlement Transaction Audit Trail Report as requested by the T2S Party using the message Secur</w:t>
      </w:r>
      <w:r>
        <w:rPr>
          <w:lang w:val="en-GB"/>
        </w:rPr>
        <w:t xml:space="preserve">ities Transaction Status Query </w:t>
      </w:r>
      <w:r w:rsidRPr="002279A8">
        <w:rPr>
          <w:lang w:val="en-GB"/>
        </w:rPr>
        <w:t>regarding a Settlement Instruction with an account owner transaction id with a value of ‘123456’. The transaction as reported has been:</w:t>
      </w:r>
    </w:p>
    <w:p w14:paraId="4ABB24A4" w14:textId="77777777" w:rsidR="00971A0F" w:rsidRPr="00AC57CF" w:rsidRDefault="00971A0F" w:rsidP="00971A0F">
      <w:pPr>
        <w:pStyle w:val="ListParagraph"/>
        <w:numPr>
          <w:ilvl w:val="0"/>
          <w:numId w:val="19"/>
        </w:numPr>
        <w:rPr>
          <w:sz w:val="24"/>
          <w:szCs w:val="24"/>
          <w:lang w:val="en-GB"/>
        </w:rPr>
      </w:pPr>
      <w:r w:rsidRPr="00AC57CF">
        <w:rPr>
          <w:sz w:val="24"/>
          <w:szCs w:val="24"/>
          <w:lang w:val="en-GB"/>
        </w:rPr>
        <w:t>accepted (</w:t>
      </w:r>
      <w:proofErr w:type="spellStart"/>
      <w:r w:rsidRPr="00AC57CF">
        <w:rPr>
          <w:sz w:val="24"/>
          <w:szCs w:val="24"/>
          <w:lang w:val="en-GB"/>
        </w:rPr>
        <w:t>AckAccptd</w:t>
      </w:r>
      <w:proofErr w:type="spellEnd"/>
      <w:r w:rsidRPr="00AC57CF">
        <w:rPr>
          <w:sz w:val="24"/>
          <w:szCs w:val="24"/>
          <w:lang w:val="en-GB"/>
        </w:rPr>
        <w:t>)</w:t>
      </w:r>
    </w:p>
    <w:p w14:paraId="087982EB" w14:textId="77777777" w:rsidR="00971A0F" w:rsidRPr="00AC57CF" w:rsidRDefault="00971A0F" w:rsidP="00971A0F">
      <w:pPr>
        <w:pStyle w:val="ListParagraph"/>
        <w:numPr>
          <w:ilvl w:val="0"/>
          <w:numId w:val="19"/>
        </w:numPr>
        <w:rPr>
          <w:sz w:val="24"/>
          <w:szCs w:val="24"/>
          <w:lang w:val="en-GB"/>
        </w:rPr>
      </w:pPr>
      <w:r w:rsidRPr="00AC57CF">
        <w:rPr>
          <w:sz w:val="24"/>
          <w:szCs w:val="24"/>
          <w:lang w:val="en-GB"/>
        </w:rPr>
        <w:t>matched (</w:t>
      </w:r>
      <w:proofErr w:type="spellStart"/>
      <w:r w:rsidRPr="00AC57CF">
        <w:rPr>
          <w:sz w:val="24"/>
          <w:szCs w:val="24"/>
          <w:lang w:val="en-GB"/>
        </w:rPr>
        <w:t>Mtchd</w:t>
      </w:r>
      <w:proofErr w:type="spellEnd"/>
      <w:r w:rsidRPr="00AC57CF">
        <w:rPr>
          <w:sz w:val="24"/>
          <w:szCs w:val="24"/>
          <w:lang w:val="en-GB"/>
        </w:rPr>
        <w:t>)</w:t>
      </w:r>
    </w:p>
    <w:p w14:paraId="38A034F5" w14:textId="77777777" w:rsidR="00971A0F" w:rsidRPr="00AC57CF" w:rsidRDefault="00971A0F" w:rsidP="00971A0F">
      <w:pPr>
        <w:pStyle w:val="ListParagraph"/>
        <w:numPr>
          <w:ilvl w:val="0"/>
          <w:numId w:val="19"/>
        </w:numPr>
        <w:rPr>
          <w:sz w:val="24"/>
          <w:szCs w:val="24"/>
          <w:lang w:val="en-GB"/>
        </w:rPr>
      </w:pPr>
      <w:r w:rsidRPr="00AC57CF">
        <w:rPr>
          <w:sz w:val="24"/>
          <w:szCs w:val="24"/>
          <w:lang w:val="en-GB"/>
        </w:rPr>
        <w:t>on hold (PREA)</w:t>
      </w:r>
    </w:p>
    <w:p w14:paraId="587F587F" w14:textId="798591A9" w:rsidR="00971A0F" w:rsidRPr="00AC57CF" w:rsidRDefault="00971A0F" w:rsidP="00971A0F">
      <w:pPr>
        <w:pStyle w:val="ListParagraph"/>
        <w:numPr>
          <w:ilvl w:val="0"/>
          <w:numId w:val="19"/>
        </w:numPr>
        <w:rPr>
          <w:sz w:val="24"/>
          <w:szCs w:val="24"/>
          <w:lang w:val="en-GB"/>
        </w:rPr>
      </w:pPr>
      <w:r w:rsidRPr="00AC57CF">
        <w:rPr>
          <w:sz w:val="24"/>
          <w:szCs w:val="24"/>
          <w:lang w:val="en-GB"/>
        </w:rPr>
        <w:t>partially released (PREL)</w:t>
      </w:r>
    </w:p>
    <w:p w14:paraId="1431EB9F" w14:textId="0CE19D69" w:rsidR="00971A0F" w:rsidRDefault="00971A0F" w:rsidP="00971A0F">
      <w:pPr>
        <w:rPr>
          <w:lang w:val="en-GB"/>
        </w:rPr>
      </w:pPr>
    </w:p>
    <w:p w14:paraId="151459B7" w14:textId="796B696C" w:rsidR="00C41DDB" w:rsidRPr="00971A0F" w:rsidRDefault="00C41DDB" w:rsidP="005C05BA">
      <w:pPr>
        <w:pStyle w:val="Heading2"/>
        <w:numPr>
          <w:ilvl w:val="0"/>
          <w:numId w:val="6"/>
        </w:numPr>
        <w:tabs>
          <w:tab w:val="left" w:pos="567"/>
        </w:tabs>
        <w:jc w:val="both"/>
        <w:rPr>
          <w:rFonts w:ascii="Times New Roman" w:hAnsi="Times New Roman"/>
          <w:sz w:val="24"/>
          <w:szCs w:val="24"/>
          <w:lang w:val="en-GB"/>
        </w:rPr>
      </w:pPr>
      <w:r w:rsidRPr="00971A0F">
        <w:rPr>
          <w:rFonts w:ascii="Times New Roman" w:hAnsi="Times New Roman"/>
          <w:sz w:val="24"/>
          <w:szCs w:val="24"/>
          <w:lang w:val="en-GB"/>
        </w:rPr>
        <w:t>SEG</w:t>
      </w:r>
      <w:r w:rsidR="005A1AA5" w:rsidRPr="00971A0F">
        <w:rPr>
          <w:rFonts w:ascii="Times New Roman" w:hAnsi="Times New Roman"/>
          <w:sz w:val="24"/>
          <w:szCs w:val="24"/>
          <w:lang w:val="en-GB"/>
        </w:rPr>
        <w:t>/TSG</w:t>
      </w:r>
      <w:r w:rsidRPr="00971A0F">
        <w:rPr>
          <w:rFonts w:ascii="Times New Roman" w:hAnsi="Times New Roman"/>
          <w:sz w:val="24"/>
          <w:szCs w:val="24"/>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w:t>
            </w:r>
            <w:r>
              <w:rPr>
                <w:szCs w:val="24"/>
                <w:lang w:val="en-GB"/>
              </w:rPr>
              <w:lastRenderedPageBreak/>
              <w:t>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6ABFB4D5" w:rsidR="00130EB9" w:rsidRPr="00AD7CD5" w:rsidRDefault="00526D88" w:rsidP="0025138E">
            <w:pPr>
              <w:spacing w:before="0"/>
              <w:jc w:val="both"/>
              <w:rPr>
                <w:color w:val="FF0000"/>
                <w:szCs w:val="24"/>
                <w:lang w:val="en-GB"/>
              </w:rPr>
            </w:pPr>
            <w:r>
              <w:rPr>
                <w:color w:val="FF0000"/>
                <w:szCs w:val="24"/>
                <w:lang w:val="en-GB"/>
              </w:rPr>
              <w:lastRenderedPageBreak/>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33849310" w:rsidR="007D6A9F" w:rsidRDefault="00C41DDB" w:rsidP="00567F13">
      <w:pPr>
        <w:rPr>
          <w:szCs w:val="24"/>
          <w:lang w:val="en-GB"/>
        </w:rPr>
      </w:pPr>
      <w:r w:rsidRPr="00567F13">
        <w:rPr>
          <w:szCs w:val="24"/>
          <w:lang w:val="en-GB"/>
        </w:rPr>
        <w:t>Reason for rejection:</w:t>
      </w:r>
    </w:p>
    <w:p w14:paraId="000A9546" w14:textId="34568C16" w:rsidR="00EB5142" w:rsidRDefault="00EB5142" w:rsidP="00567F13">
      <w:pPr>
        <w:rPr>
          <w:szCs w:val="24"/>
          <w:lang w:val="en-GB"/>
        </w:rPr>
      </w:pPr>
    </w:p>
    <w:p w14:paraId="774901FA" w14:textId="75E2B8D8" w:rsidR="00EB5142" w:rsidRDefault="00EB5142" w:rsidP="00567F13">
      <w:pPr>
        <w:rPr>
          <w:szCs w:val="24"/>
          <w:lang w:val="en-GB"/>
        </w:rPr>
      </w:pPr>
    </w:p>
    <w:p w14:paraId="15DA1F85" w14:textId="29F0D4C9" w:rsidR="00EB5142" w:rsidRDefault="00EB5142" w:rsidP="00567F13">
      <w:pPr>
        <w:rPr>
          <w:szCs w:val="24"/>
          <w:lang w:val="en-GB"/>
        </w:rPr>
      </w:pPr>
    </w:p>
    <w:p w14:paraId="171FDE97" w14:textId="225F9EF9" w:rsidR="00EB5142" w:rsidRDefault="00EB5142" w:rsidP="00567F13">
      <w:pPr>
        <w:rPr>
          <w:szCs w:val="24"/>
          <w:lang w:val="en-GB"/>
        </w:rPr>
      </w:pPr>
    </w:p>
    <w:p w14:paraId="2D7487D5" w14:textId="77777777" w:rsidR="00EB5142" w:rsidRPr="00FE18B8" w:rsidRDefault="00EB5142" w:rsidP="00EB5142">
      <w:pPr>
        <w:pStyle w:val="Heading1"/>
        <w:jc w:val="both"/>
        <w:rPr>
          <w:rFonts w:ascii="Times New Roman" w:hAnsi="Times New Roman"/>
          <w:sz w:val="24"/>
          <w:szCs w:val="24"/>
        </w:rPr>
      </w:pPr>
      <w:r w:rsidRPr="00FE18B8">
        <w:rPr>
          <w:rFonts w:ascii="Times New Roman" w:hAnsi="Times New Roman"/>
          <w:sz w:val="24"/>
          <w:szCs w:val="24"/>
        </w:rPr>
        <w:t>Change request MT CR 001779: SWIFT release 2025 - Add new information to report a mismatch on the partial settlement indicator (changes required in semt.022 to include “PATD” code)</w:t>
      </w:r>
    </w:p>
    <w:p w14:paraId="6A8BCEF1" w14:textId="77777777" w:rsidR="00EB5142" w:rsidRDefault="00EB5142" w:rsidP="00EB5142">
      <w:pPr>
        <w:jc w:val="both"/>
      </w:pPr>
    </w:p>
    <w:p w14:paraId="108EE838" w14:textId="77777777" w:rsidR="00EB5142" w:rsidRPr="005045DC" w:rsidRDefault="00EB5142" w:rsidP="00EB5142">
      <w:pPr>
        <w:pStyle w:val="Heading2"/>
        <w:numPr>
          <w:ilvl w:val="0"/>
          <w:numId w:val="21"/>
        </w:numPr>
        <w:tabs>
          <w:tab w:val="left" w:pos="567"/>
        </w:tabs>
        <w:jc w:val="both"/>
        <w:rPr>
          <w:rFonts w:ascii="Times New Roman" w:hAnsi="Times New Roman"/>
          <w:b w:val="0"/>
          <w:sz w:val="24"/>
          <w:szCs w:val="24"/>
          <w:lang w:val="en-GB"/>
        </w:rPr>
      </w:pPr>
      <w:r w:rsidRPr="005045DC">
        <w:rPr>
          <w:rFonts w:ascii="Times New Roman" w:hAnsi="Times New Roman"/>
          <w:sz w:val="24"/>
          <w:szCs w:val="24"/>
          <w:lang w:val="en-GB"/>
        </w:rPr>
        <w:t>Origin of the request:</w:t>
      </w:r>
    </w:p>
    <w:p w14:paraId="72F5C197" w14:textId="77777777" w:rsidR="00F9221D" w:rsidRDefault="005C05BA" w:rsidP="005C05BA">
      <w:pPr>
        <w:rPr>
          <w:szCs w:val="24"/>
          <w:lang w:val="en-GB"/>
        </w:rPr>
      </w:pPr>
      <w:r w:rsidRPr="005C05BA">
        <w:rPr>
          <w:i/>
          <w:szCs w:val="24"/>
          <w:lang w:val="en-GB"/>
        </w:rPr>
        <w:t>A.1 Submitter</w:t>
      </w:r>
      <w:r w:rsidRPr="005C05BA">
        <w:rPr>
          <w:szCs w:val="24"/>
          <w:lang w:val="en-GB"/>
        </w:rPr>
        <w:t xml:space="preserve">: </w:t>
      </w:r>
    </w:p>
    <w:p w14:paraId="50126C5B" w14:textId="024AF7EB" w:rsidR="005C05BA" w:rsidRDefault="00F9221D" w:rsidP="00F9221D">
      <w:pPr>
        <w:pStyle w:val="ListParagraph"/>
        <w:ind w:left="360"/>
        <w:rPr>
          <w:szCs w:val="24"/>
          <w:lang w:val="en-US"/>
        </w:rPr>
      </w:pPr>
      <w:r w:rsidRPr="00CE70D8">
        <w:rPr>
          <w:szCs w:val="24"/>
          <w:lang w:val="en-US"/>
        </w:rPr>
        <w:t xml:space="preserve">- </w:t>
      </w:r>
      <w:r w:rsidR="005C05BA" w:rsidRPr="00CE70D8">
        <w:rPr>
          <w:szCs w:val="24"/>
          <w:lang w:val="en-US"/>
        </w:rPr>
        <w:t xml:space="preserve">Deutsche Bundesbank on behalf of the </w:t>
      </w:r>
      <w:proofErr w:type="spellStart"/>
      <w:r w:rsidR="005C05BA" w:rsidRPr="00CE70D8">
        <w:rPr>
          <w:szCs w:val="24"/>
          <w:lang w:val="en-US"/>
        </w:rPr>
        <w:t>Eurosystem</w:t>
      </w:r>
      <w:proofErr w:type="spellEnd"/>
      <w:r w:rsidR="005C05BA" w:rsidRPr="00CE70D8">
        <w:rPr>
          <w:szCs w:val="24"/>
          <w:lang w:val="en-US"/>
        </w:rPr>
        <w:t xml:space="preserve"> / 4CB</w:t>
      </w:r>
    </w:p>
    <w:p w14:paraId="1115961D" w14:textId="6235E672" w:rsidR="004E7948" w:rsidRPr="004E7948" w:rsidRDefault="004E7948" w:rsidP="004E7948">
      <w:pPr>
        <w:pStyle w:val="ListParagraph"/>
        <w:ind w:left="360"/>
        <w:rPr>
          <w:szCs w:val="24"/>
          <w:lang w:val="en-GB"/>
        </w:rPr>
      </w:pPr>
      <w:r>
        <w:rPr>
          <w:szCs w:val="24"/>
          <w:lang w:val="en-GB"/>
        </w:rPr>
        <w:t>- TARGET2-Securities</w:t>
      </w:r>
    </w:p>
    <w:p w14:paraId="6DD3CF13" w14:textId="77777777" w:rsidR="005C05BA" w:rsidRPr="003F270D" w:rsidRDefault="005C05BA" w:rsidP="005C05BA">
      <w:pPr>
        <w:rPr>
          <w:szCs w:val="24"/>
          <w:lang w:val="en-GB"/>
        </w:rPr>
      </w:pPr>
      <w:r w:rsidRPr="003F270D">
        <w:rPr>
          <w:i/>
          <w:szCs w:val="24"/>
          <w:lang w:val="en-GB"/>
        </w:rPr>
        <w:t>A.2 Contact person:</w:t>
      </w:r>
      <w:r w:rsidRPr="003F270D">
        <w:rPr>
          <w:szCs w:val="24"/>
          <w:lang w:val="en-GB"/>
        </w:rPr>
        <w:t xml:space="preserve"> </w:t>
      </w:r>
    </w:p>
    <w:p w14:paraId="71BBFAF2" w14:textId="1980CBA1" w:rsidR="005C05BA" w:rsidRPr="003F270D" w:rsidRDefault="005C05BA" w:rsidP="005C05BA">
      <w:pPr>
        <w:pStyle w:val="ListParagraph"/>
        <w:ind w:left="360"/>
        <w:rPr>
          <w:szCs w:val="24"/>
          <w:lang w:val="de-DE"/>
        </w:rPr>
      </w:pPr>
      <w:r w:rsidRPr="003F270D">
        <w:rPr>
          <w:szCs w:val="24"/>
          <w:lang w:val="de-DE"/>
        </w:rPr>
        <w:t xml:space="preserve">- Stéphanie Radet, </w:t>
      </w:r>
      <w:r>
        <w:fldChar w:fldCharType="begin"/>
      </w:r>
      <w:r w:rsidRPr="00EC5BEA">
        <w:rPr>
          <w:lang w:val="fr-BE"/>
        </w:rPr>
        <w:instrText>HYPERLINK "mailto:stephanie.radet@bundesbank.de"</w:instrText>
      </w:r>
      <w:r>
        <w:fldChar w:fldCharType="separate"/>
      </w:r>
      <w:r w:rsidR="003F270D" w:rsidRPr="006A7F9D">
        <w:rPr>
          <w:rStyle w:val="Hyperlink"/>
          <w:szCs w:val="24"/>
          <w:lang w:val="de-DE"/>
        </w:rPr>
        <w:t>stephanie.radet@bundesbank.de</w:t>
      </w:r>
      <w:r>
        <w:rPr>
          <w:rStyle w:val="Hyperlink"/>
          <w:szCs w:val="24"/>
          <w:lang w:val="de-DE"/>
        </w:rPr>
        <w:fldChar w:fldCharType="end"/>
      </w:r>
      <w:r w:rsidR="003F270D" w:rsidRPr="006A7F9D">
        <w:rPr>
          <w:szCs w:val="24"/>
          <w:lang w:val="de-DE"/>
        </w:rPr>
        <w:t xml:space="preserve">, </w:t>
      </w:r>
      <w:r w:rsidRPr="003F270D">
        <w:rPr>
          <w:szCs w:val="24"/>
          <w:lang w:val="de-DE"/>
        </w:rPr>
        <w:t>+49 69 9566-33528</w:t>
      </w:r>
    </w:p>
    <w:p w14:paraId="5396F73F" w14:textId="2DE5A0E0" w:rsidR="005C05BA" w:rsidRPr="003F270D" w:rsidRDefault="005C05BA" w:rsidP="005C05BA">
      <w:pPr>
        <w:pStyle w:val="ListParagraph"/>
        <w:ind w:left="360"/>
        <w:rPr>
          <w:szCs w:val="24"/>
          <w:lang w:val="de-DE"/>
        </w:rPr>
      </w:pPr>
      <w:r w:rsidRPr="003F270D">
        <w:rPr>
          <w:szCs w:val="24"/>
          <w:lang w:val="de-DE"/>
        </w:rPr>
        <w:t xml:space="preserve">- Ann-Kristin Gonska, </w:t>
      </w:r>
      <w:hyperlink r:id="rId15" w:history="1">
        <w:r w:rsidR="003F270D" w:rsidRPr="006A7F9D">
          <w:rPr>
            <w:rStyle w:val="Hyperlink"/>
            <w:szCs w:val="24"/>
            <w:lang w:val="de-DE"/>
          </w:rPr>
          <w:t>ann-kristin.gonska@bundesbank.de</w:t>
        </w:r>
      </w:hyperlink>
      <w:r w:rsidR="003F270D" w:rsidRPr="006A7F9D">
        <w:rPr>
          <w:szCs w:val="24"/>
          <w:lang w:val="de-DE"/>
        </w:rPr>
        <w:t>,</w:t>
      </w:r>
      <w:r w:rsidR="003F270D">
        <w:rPr>
          <w:szCs w:val="24"/>
          <w:lang w:val="de-DE"/>
        </w:rPr>
        <w:t xml:space="preserve"> </w:t>
      </w:r>
      <w:r w:rsidRPr="003F270D">
        <w:rPr>
          <w:szCs w:val="24"/>
          <w:lang w:val="de-DE"/>
        </w:rPr>
        <w:t>+49 69 9566-14278</w:t>
      </w:r>
    </w:p>
    <w:p w14:paraId="619803ED" w14:textId="77777777" w:rsidR="005C05BA" w:rsidRPr="003F270D" w:rsidRDefault="005C05BA" w:rsidP="005C05BA">
      <w:pPr>
        <w:pStyle w:val="ListParagraph"/>
        <w:ind w:left="360"/>
        <w:rPr>
          <w:szCs w:val="24"/>
          <w:lang w:val="en-GB"/>
        </w:rPr>
      </w:pPr>
      <w:r w:rsidRPr="003F270D">
        <w:rPr>
          <w:szCs w:val="24"/>
          <w:lang w:val="en-GB"/>
        </w:rPr>
        <w:t xml:space="preserve">- </w:t>
      </w:r>
      <w:hyperlink r:id="rId16" w:history="1">
        <w:r w:rsidRPr="003F270D">
          <w:rPr>
            <w:rStyle w:val="Hyperlink"/>
            <w:szCs w:val="24"/>
            <w:lang w:val="en-GB"/>
          </w:rPr>
          <w:t>t2s-fam@bundesbank.de</w:t>
        </w:r>
      </w:hyperlink>
      <w:r w:rsidRPr="003F270D">
        <w:rPr>
          <w:szCs w:val="24"/>
          <w:lang w:val="en-GB"/>
        </w:rPr>
        <w:t xml:space="preserve"> </w:t>
      </w:r>
    </w:p>
    <w:p w14:paraId="1FDB8559" w14:textId="69E42856" w:rsidR="005C05BA" w:rsidRPr="005C05BA" w:rsidRDefault="005C05BA" w:rsidP="005C05BA">
      <w:pPr>
        <w:rPr>
          <w:szCs w:val="24"/>
          <w:lang w:val="en-GB"/>
        </w:rPr>
      </w:pPr>
      <w:r w:rsidRPr="005C05BA">
        <w:rPr>
          <w:i/>
          <w:szCs w:val="24"/>
          <w:lang w:val="en-GB"/>
        </w:rPr>
        <w:t>A.3 Sponsors</w:t>
      </w:r>
      <w:r w:rsidRPr="005C05BA">
        <w:rPr>
          <w:szCs w:val="24"/>
          <w:lang w:val="en-GB"/>
        </w:rPr>
        <w:t xml:space="preserve">: SWIFT </w:t>
      </w:r>
    </w:p>
    <w:p w14:paraId="580BC411" w14:textId="4488842F" w:rsidR="00EB5142" w:rsidRPr="004E7948" w:rsidRDefault="00F7236C" w:rsidP="00EB5142">
      <w:pPr>
        <w:jc w:val="both"/>
        <w:rPr>
          <w:szCs w:val="24"/>
          <w:lang w:val="en-GB"/>
        </w:rPr>
      </w:pPr>
      <w:r w:rsidRPr="004E7948">
        <w:rPr>
          <w:szCs w:val="24"/>
          <w:lang w:val="en-GB"/>
        </w:rPr>
        <w:t>- AMI-</w:t>
      </w:r>
      <w:proofErr w:type="spellStart"/>
      <w:r w:rsidRPr="004E7948">
        <w:rPr>
          <w:szCs w:val="24"/>
          <w:lang w:val="en-GB"/>
        </w:rPr>
        <w:t>SeCo</w:t>
      </w:r>
      <w:proofErr w:type="spellEnd"/>
      <w:r w:rsidRPr="004E7948">
        <w:rPr>
          <w:szCs w:val="24"/>
          <w:lang w:val="en-GB"/>
        </w:rPr>
        <w:t xml:space="preserve"> SEG Task Force on the Optimisation of T2S message customisation (TFOS)</w:t>
      </w:r>
    </w:p>
    <w:p w14:paraId="4443D458" w14:textId="77777777" w:rsidR="00F7236C" w:rsidRPr="004E7948" w:rsidRDefault="00F7236C" w:rsidP="00EB5142">
      <w:pPr>
        <w:jc w:val="both"/>
        <w:rPr>
          <w:szCs w:val="24"/>
          <w:lang w:val="en-GB"/>
        </w:rPr>
      </w:pPr>
    </w:p>
    <w:p w14:paraId="566DAD1F" w14:textId="77777777" w:rsidR="00EB5142" w:rsidRPr="005C05BA" w:rsidRDefault="00EB5142" w:rsidP="005C05BA">
      <w:pPr>
        <w:numPr>
          <w:ilvl w:val="0"/>
          <w:numId w:val="21"/>
        </w:numPr>
        <w:rPr>
          <w:b/>
          <w:lang w:val="en-GB"/>
        </w:rPr>
      </w:pPr>
      <w:r w:rsidRPr="005C05BA">
        <w:rPr>
          <w:b/>
          <w:lang w:val="en-GB"/>
        </w:rPr>
        <w:lastRenderedPageBreak/>
        <w:t>Related messages:</w:t>
      </w:r>
    </w:p>
    <w:p w14:paraId="48975C26" w14:textId="76ABE26D" w:rsidR="00EB5142" w:rsidRDefault="00B60438" w:rsidP="00EB5142">
      <w:pPr>
        <w:jc w:val="both"/>
        <w:rPr>
          <w:lang w:val="en-GB"/>
        </w:rPr>
      </w:pPr>
      <w:r w:rsidRPr="00B60438">
        <w:rPr>
          <w:lang w:val="en-GB"/>
        </w:rPr>
        <w:t xml:space="preserve">semt.022.001.05 </w:t>
      </w:r>
      <w:r>
        <w:rPr>
          <w:lang w:val="en-GB"/>
        </w:rPr>
        <w:t xml:space="preserve">- </w:t>
      </w:r>
      <w:r w:rsidRPr="00B60438">
        <w:rPr>
          <w:lang w:val="en-GB"/>
        </w:rPr>
        <w:t>Securities Settlement Transaction Audit Trail Report V05</w:t>
      </w:r>
    </w:p>
    <w:p w14:paraId="3B1A77E5" w14:textId="77777777" w:rsidR="005C05BA" w:rsidRDefault="005C05BA" w:rsidP="00EB5142">
      <w:pPr>
        <w:jc w:val="both"/>
        <w:rPr>
          <w:lang w:val="en-GB"/>
        </w:rPr>
      </w:pPr>
    </w:p>
    <w:p w14:paraId="10F44163" w14:textId="77777777" w:rsidR="00EB5142" w:rsidRPr="00B5408B" w:rsidRDefault="00EB5142" w:rsidP="00EB5142">
      <w:pPr>
        <w:pStyle w:val="Heading2"/>
        <w:numPr>
          <w:ilvl w:val="0"/>
          <w:numId w:val="21"/>
        </w:numPr>
        <w:tabs>
          <w:tab w:val="left" w:pos="567"/>
        </w:tabs>
        <w:jc w:val="both"/>
        <w:rPr>
          <w:rFonts w:ascii="Times New Roman" w:hAnsi="Times New Roman"/>
          <w:b w:val="0"/>
          <w:sz w:val="24"/>
          <w:szCs w:val="24"/>
          <w:lang w:val="en-GB"/>
        </w:rPr>
      </w:pPr>
      <w:r w:rsidRPr="00B5408B">
        <w:rPr>
          <w:rFonts w:ascii="Times New Roman" w:hAnsi="Times New Roman"/>
          <w:sz w:val="24"/>
          <w:szCs w:val="24"/>
          <w:lang w:val="en-GB"/>
        </w:rPr>
        <w:t>De</w:t>
      </w:r>
      <w:r>
        <w:rPr>
          <w:rFonts w:ascii="Times New Roman" w:hAnsi="Times New Roman"/>
          <w:sz w:val="24"/>
          <w:szCs w:val="24"/>
          <w:lang w:val="en-GB"/>
        </w:rPr>
        <w:t>scription of the change request</w:t>
      </w:r>
      <w:r w:rsidRPr="00B5408B">
        <w:rPr>
          <w:rFonts w:ascii="Times New Roman" w:hAnsi="Times New Roman"/>
          <w:sz w:val="24"/>
          <w:szCs w:val="24"/>
          <w:lang w:val="en-GB"/>
        </w:rPr>
        <w:t>:</w:t>
      </w:r>
    </w:p>
    <w:p w14:paraId="09A7EB16" w14:textId="17C1E13C" w:rsidR="002B783E" w:rsidRDefault="002B783E" w:rsidP="002B783E">
      <w:pPr>
        <w:jc w:val="both"/>
      </w:pPr>
      <w:r>
        <w:t>The MT CR-177</w:t>
      </w:r>
      <w:r w:rsidR="00D854DA">
        <w:t>9</w:t>
      </w:r>
      <w:r>
        <w:t xml:space="preserve"> changes stemming from SWIFT release 2022 requested the implementation of a new ‘PATD’</w:t>
      </w:r>
      <w:r w:rsidRPr="00450382">
        <w:t xml:space="preserve"> </w:t>
      </w:r>
      <w:r w:rsidRPr="008A1729">
        <w:t>(Partial Differ)</w:t>
      </w:r>
      <w:r>
        <w:t xml:space="preserve"> code for ISO 15022 MT 548 and MT 537 and also in the equivalent ISO 20022 messages, sese.024 and semt.018. </w:t>
      </w:r>
    </w:p>
    <w:p w14:paraId="4F0938E4" w14:textId="51418BC4" w:rsidR="002B783E" w:rsidRDefault="002B783E" w:rsidP="002B783E">
      <w:pPr>
        <w:jc w:val="both"/>
      </w:pPr>
      <w:r>
        <w:t xml:space="preserve">The semt.022 (Securities Settlement Transaction Audit Trail Report) is a pillar 3 T2S message with no equivalence in ISO 15022. Therefore, the change was not implemented in the semt.022 message. Hence, this ISO CR focuses on changing the T2S semt.022 base message for Maintenance Release 2025 to add a new code ‘PATD’ to qualifiers </w:t>
      </w:r>
      <w:r w:rsidR="00CE70D8">
        <w:t>‘</w:t>
      </w:r>
      <w:r>
        <w:t>PEND</w:t>
      </w:r>
      <w:r w:rsidR="00CE70D8">
        <w:t>’</w:t>
      </w:r>
      <w:r>
        <w:t xml:space="preserve"> (pending status) and </w:t>
      </w:r>
      <w:r w:rsidR="00CE70D8">
        <w:t>‘</w:t>
      </w:r>
      <w:r>
        <w:t>PENF</w:t>
      </w:r>
      <w:r w:rsidR="00CE70D8">
        <w:t>’</w:t>
      </w:r>
      <w:r>
        <w:t xml:space="preserve"> (failing status):</w:t>
      </w:r>
    </w:p>
    <w:p w14:paraId="66877231" w14:textId="77777777" w:rsidR="00F7236C" w:rsidRPr="00F93D66" w:rsidRDefault="00F7236C" w:rsidP="00EB5142">
      <w:pPr>
        <w:jc w:val="both"/>
        <w:rPr>
          <w:rFonts w:ascii="Arial" w:hAnsi="Arial" w:cs="Arial"/>
          <w:b/>
          <w:bCs/>
          <w:sz w:val="18"/>
          <w:szCs w:val="18"/>
          <w:u w:val="single"/>
        </w:rPr>
      </w:pPr>
    </w:p>
    <w:p w14:paraId="65B023E9" w14:textId="77777777" w:rsidR="00EB5142" w:rsidRPr="00CE70D8" w:rsidRDefault="00EB5142" w:rsidP="00EB5142">
      <w:pPr>
        <w:pStyle w:val="ListParagraph"/>
        <w:widowControl w:val="0"/>
        <w:numPr>
          <w:ilvl w:val="0"/>
          <w:numId w:val="18"/>
        </w:numPr>
        <w:autoSpaceDE w:val="0"/>
        <w:autoSpaceDN w:val="0"/>
        <w:adjustRightInd w:val="0"/>
        <w:rPr>
          <w:sz w:val="24"/>
          <w:szCs w:val="24"/>
          <w:lang w:val="en-GB"/>
        </w:rPr>
      </w:pPr>
      <w:r w:rsidRPr="00CE70D8">
        <w:rPr>
          <w:sz w:val="24"/>
          <w:szCs w:val="24"/>
          <w:lang w:val="en-GB"/>
        </w:rPr>
        <w:t>code ‘PATD’ to be made available as pending reason code:</w:t>
      </w:r>
    </w:p>
    <w:p w14:paraId="315E9B54" w14:textId="77777777" w:rsidR="00EB5142" w:rsidRPr="00CE70D8" w:rsidRDefault="00EB5142" w:rsidP="00EB5142">
      <w:pPr>
        <w:pStyle w:val="ListParagraph"/>
        <w:widowControl w:val="0"/>
        <w:autoSpaceDE w:val="0"/>
        <w:autoSpaceDN w:val="0"/>
        <w:adjustRightInd w:val="0"/>
        <w:rPr>
          <w:sz w:val="24"/>
          <w:szCs w:val="24"/>
          <w:lang w:val="en-GB"/>
        </w:rPr>
      </w:pPr>
      <w:r w:rsidRPr="00CE70D8">
        <w:rPr>
          <w:sz w:val="24"/>
          <w:szCs w:val="24"/>
          <w:lang w:val="en-GB"/>
        </w:rPr>
        <w:t>/Document/</w:t>
      </w:r>
      <w:proofErr w:type="spellStart"/>
      <w:r w:rsidRPr="00CE70D8">
        <w:rPr>
          <w:sz w:val="24"/>
          <w:szCs w:val="24"/>
          <w:lang w:val="en-GB"/>
        </w:rPr>
        <w:t>SctiesSttlmTxAudtTrlRpt</w:t>
      </w:r>
      <w:proofErr w:type="spellEnd"/>
      <w:r w:rsidRPr="00CE70D8">
        <w:rPr>
          <w:sz w:val="24"/>
          <w:szCs w:val="24"/>
          <w:lang w:val="en-GB"/>
        </w:rPr>
        <w:t>/</w:t>
      </w:r>
      <w:proofErr w:type="spellStart"/>
      <w:r w:rsidRPr="00CE70D8">
        <w:rPr>
          <w:sz w:val="24"/>
          <w:szCs w:val="24"/>
          <w:lang w:val="en-GB"/>
        </w:rPr>
        <w:t>StsTrl</w:t>
      </w:r>
      <w:proofErr w:type="spellEnd"/>
      <w:r w:rsidRPr="00CE70D8">
        <w:rPr>
          <w:sz w:val="24"/>
          <w:szCs w:val="24"/>
          <w:lang w:val="en-GB"/>
        </w:rPr>
        <w:t>/</w:t>
      </w:r>
      <w:proofErr w:type="spellStart"/>
      <w:r w:rsidRPr="00CE70D8">
        <w:rPr>
          <w:sz w:val="24"/>
          <w:szCs w:val="24"/>
          <w:lang w:val="en-GB"/>
        </w:rPr>
        <w:t>SttlmSts</w:t>
      </w:r>
      <w:proofErr w:type="spellEnd"/>
      <w:r w:rsidRPr="00CE70D8">
        <w:rPr>
          <w:sz w:val="24"/>
          <w:szCs w:val="24"/>
          <w:lang w:val="en-GB"/>
        </w:rPr>
        <w:t>/</w:t>
      </w:r>
      <w:proofErr w:type="spellStart"/>
      <w:r w:rsidRPr="00CE70D8">
        <w:rPr>
          <w:sz w:val="24"/>
          <w:szCs w:val="24"/>
          <w:lang w:val="en-GB"/>
        </w:rPr>
        <w:t>Pdg</w:t>
      </w:r>
      <w:proofErr w:type="spellEnd"/>
      <w:r w:rsidRPr="00CE70D8">
        <w:rPr>
          <w:sz w:val="24"/>
          <w:szCs w:val="24"/>
          <w:lang w:val="en-GB"/>
        </w:rPr>
        <w:t>/</w:t>
      </w:r>
      <w:proofErr w:type="spellStart"/>
      <w:r w:rsidRPr="00CE70D8">
        <w:rPr>
          <w:sz w:val="24"/>
          <w:szCs w:val="24"/>
          <w:lang w:val="en-GB"/>
        </w:rPr>
        <w:t>Rsn</w:t>
      </w:r>
      <w:proofErr w:type="spellEnd"/>
      <w:r w:rsidRPr="00CE70D8">
        <w:rPr>
          <w:sz w:val="24"/>
          <w:szCs w:val="24"/>
          <w:lang w:val="en-GB"/>
        </w:rPr>
        <w:t>/Cd/Cd</w:t>
      </w:r>
    </w:p>
    <w:p w14:paraId="1579BEC2" w14:textId="77777777" w:rsidR="00EB5142" w:rsidRPr="00CE70D8" w:rsidRDefault="00EB5142" w:rsidP="00EB5142">
      <w:pPr>
        <w:pStyle w:val="ListParagraph"/>
        <w:widowControl w:val="0"/>
        <w:autoSpaceDE w:val="0"/>
        <w:autoSpaceDN w:val="0"/>
        <w:adjustRightInd w:val="0"/>
        <w:rPr>
          <w:sz w:val="24"/>
          <w:szCs w:val="24"/>
          <w:lang w:val="en-GB"/>
        </w:rPr>
      </w:pPr>
    </w:p>
    <w:p w14:paraId="7A97D8C3" w14:textId="77777777" w:rsidR="00EB5142" w:rsidRPr="00CE70D8" w:rsidRDefault="00EB5142" w:rsidP="00EB5142">
      <w:pPr>
        <w:pStyle w:val="ListParagraph"/>
        <w:widowControl w:val="0"/>
        <w:numPr>
          <w:ilvl w:val="0"/>
          <w:numId w:val="18"/>
        </w:numPr>
        <w:autoSpaceDE w:val="0"/>
        <w:autoSpaceDN w:val="0"/>
        <w:adjustRightInd w:val="0"/>
        <w:rPr>
          <w:sz w:val="24"/>
          <w:szCs w:val="24"/>
          <w:lang w:val="en-GB"/>
        </w:rPr>
      </w:pPr>
      <w:r w:rsidRPr="00CE70D8">
        <w:rPr>
          <w:sz w:val="24"/>
          <w:szCs w:val="24"/>
          <w:lang w:val="en-GB"/>
        </w:rPr>
        <w:t>code ‘PATD’ to be made available as failing reason code:</w:t>
      </w:r>
    </w:p>
    <w:p w14:paraId="2E63AB33" w14:textId="77777777" w:rsidR="00EB5142" w:rsidRPr="00CE70D8" w:rsidRDefault="00EB5142" w:rsidP="00EB5142">
      <w:pPr>
        <w:pStyle w:val="ListParagraph"/>
        <w:widowControl w:val="0"/>
        <w:autoSpaceDE w:val="0"/>
        <w:autoSpaceDN w:val="0"/>
        <w:adjustRightInd w:val="0"/>
        <w:rPr>
          <w:sz w:val="24"/>
          <w:szCs w:val="24"/>
          <w:lang w:val="en-GB"/>
        </w:rPr>
      </w:pPr>
      <w:r w:rsidRPr="00CE70D8">
        <w:rPr>
          <w:sz w:val="24"/>
          <w:szCs w:val="24"/>
          <w:lang w:val="en-GB"/>
        </w:rPr>
        <w:t>/Document/</w:t>
      </w:r>
      <w:proofErr w:type="spellStart"/>
      <w:r w:rsidRPr="00CE70D8">
        <w:rPr>
          <w:sz w:val="24"/>
          <w:szCs w:val="24"/>
          <w:lang w:val="en-GB"/>
        </w:rPr>
        <w:t>SctiesSttlmTxAudtTrlRpt</w:t>
      </w:r>
      <w:proofErr w:type="spellEnd"/>
      <w:r w:rsidRPr="00CE70D8">
        <w:rPr>
          <w:sz w:val="24"/>
          <w:szCs w:val="24"/>
          <w:lang w:val="en-GB"/>
        </w:rPr>
        <w:t>/</w:t>
      </w:r>
      <w:proofErr w:type="spellStart"/>
      <w:r w:rsidRPr="00CE70D8">
        <w:rPr>
          <w:sz w:val="24"/>
          <w:szCs w:val="24"/>
          <w:lang w:val="en-GB"/>
        </w:rPr>
        <w:t>StsTrl</w:t>
      </w:r>
      <w:proofErr w:type="spellEnd"/>
      <w:r w:rsidRPr="00CE70D8">
        <w:rPr>
          <w:sz w:val="24"/>
          <w:szCs w:val="24"/>
          <w:lang w:val="en-GB"/>
        </w:rPr>
        <w:t>/</w:t>
      </w:r>
      <w:proofErr w:type="spellStart"/>
      <w:r w:rsidRPr="00CE70D8">
        <w:rPr>
          <w:sz w:val="24"/>
          <w:szCs w:val="24"/>
          <w:lang w:val="en-GB"/>
        </w:rPr>
        <w:t>SttlmSts</w:t>
      </w:r>
      <w:proofErr w:type="spellEnd"/>
      <w:r w:rsidRPr="00CE70D8">
        <w:rPr>
          <w:sz w:val="24"/>
          <w:szCs w:val="24"/>
          <w:lang w:val="en-GB"/>
        </w:rPr>
        <w:t>/</w:t>
      </w:r>
      <w:proofErr w:type="spellStart"/>
      <w:r w:rsidRPr="00CE70D8">
        <w:rPr>
          <w:sz w:val="24"/>
          <w:szCs w:val="24"/>
          <w:lang w:val="en-GB"/>
        </w:rPr>
        <w:t>Flng</w:t>
      </w:r>
      <w:proofErr w:type="spellEnd"/>
      <w:r w:rsidRPr="00CE70D8">
        <w:rPr>
          <w:sz w:val="24"/>
          <w:szCs w:val="24"/>
          <w:lang w:val="en-GB"/>
        </w:rPr>
        <w:t>/</w:t>
      </w:r>
      <w:proofErr w:type="spellStart"/>
      <w:r w:rsidRPr="00CE70D8">
        <w:rPr>
          <w:sz w:val="24"/>
          <w:szCs w:val="24"/>
          <w:lang w:val="en-GB"/>
        </w:rPr>
        <w:t>Rsn</w:t>
      </w:r>
      <w:proofErr w:type="spellEnd"/>
      <w:r w:rsidRPr="00CE70D8">
        <w:rPr>
          <w:sz w:val="24"/>
          <w:szCs w:val="24"/>
          <w:lang w:val="en-GB"/>
        </w:rPr>
        <w:t>/Cd/Cd</w:t>
      </w:r>
    </w:p>
    <w:p w14:paraId="40AB8ED5" w14:textId="77777777" w:rsidR="00EB5142" w:rsidRDefault="00EB5142" w:rsidP="00EB5142">
      <w:pPr>
        <w:jc w:val="both"/>
        <w:rPr>
          <w:lang w:val="en-GB"/>
        </w:rPr>
      </w:pPr>
    </w:p>
    <w:p w14:paraId="109349EA" w14:textId="77777777" w:rsidR="00EB5142" w:rsidRDefault="00EB5142" w:rsidP="00EB5142">
      <w:pPr>
        <w:jc w:val="both"/>
        <w:rPr>
          <w:lang w:val="en-GB"/>
        </w:rPr>
      </w:pPr>
      <w:r>
        <w:rPr>
          <w:noProof/>
          <w:lang w:val="de-DE" w:eastAsia="de-DE"/>
        </w:rPr>
        <w:lastRenderedPageBreak/>
        <w:drawing>
          <wp:inline distT="0" distB="0" distL="0" distR="0" wp14:anchorId="6FAED2F4" wp14:editId="20DFC4D1">
            <wp:extent cx="5753100" cy="5095875"/>
            <wp:effectExtent l="19050" t="19050" r="19050" b="285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5095875"/>
                    </a:xfrm>
                    <a:prstGeom prst="rect">
                      <a:avLst/>
                    </a:prstGeom>
                    <a:noFill/>
                    <a:ln>
                      <a:solidFill>
                        <a:schemeClr val="tx1"/>
                      </a:solidFill>
                    </a:ln>
                  </pic:spPr>
                </pic:pic>
              </a:graphicData>
            </a:graphic>
          </wp:inline>
        </w:drawing>
      </w:r>
    </w:p>
    <w:p w14:paraId="7D8742E3" w14:textId="77777777" w:rsidR="00EB5142" w:rsidRDefault="00EB5142" w:rsidP="00EB5142">
      <w:pPr>
        <w:jc w:val="both"/>
        <w:rPr>
          <w:lang w:val="en-GB"/>
        </w:rPr>
      </w:pPr>
    </w:p>
    <w:p w14:paraId="491DF719" w14:textId="77777777" w:rsidR="00EB5142" w:rsidRPr="00414314" w:rsidRDefault="00EB5142" w:rsidP="00EB5142">
      <w:pPr>
        <w:pStyle w:val="Heading2"/>
        <w:numPr>
          <w:ilvl w:val="0"/>
          <w:numId w:val="21"/>
        </w:numPr>
        <w:tabs>
          <w:tab w:val="left" w:pos="567"/>
        </w:tabs>
        <w:jc w:val="both"/>
        <w:rPr>
          <w:rFonts w:ascii="Times New Roman" w:hAnsi="Times New Roman"/>
          <w:b w:val="0"/>
          <w:sz w:val="24"/>
          <w:szCs w:val="24"/>
          <w:lang w:val="en-GB"/>
        </w:rPr>
      </w:pPr>
      <w:r w:rsidRPr="00414314">
        <w:rPr>
          <w:rFonts w:ascii="Times New Roman" w:hAnsi="Times New Roman"/>
          <w:sz w:val="24"/>
          <w:szCs w:val="24"/>
          <w:lang w:val="en-GB"/>
        </w:rPr>
        <w:t>Purpose of the change:</w:t>
      </w:r>
    </w:p>
    <w:p w14:paraId="1D9D6502" w14:textId="39C4EFD5" w:rsidR="00EB5142" w:rsidRPr="009C1AAC" w:rsidRDefault="00EB5142" w:rsidP="00EB5142">
      <w:pPr>
        <w:jc w:val="both"/>
        <w:rPr>
          <w:lang w:val="en-GB"/>
        </w:rPr>
      </w:pPr>
      <w:r w:rsidRPr="008A1729">
        <w:rPr>
          <w:lang w:val="en-GB"/>
        </w:rPr>
        <w:t>The proposed chan</w:t>
      </w:r>
      <w:r>
        <w:rPr>
          <w:lang w:val="en-GB"/>
        </w:rPr>
        <w:t>ge is to add a new reason code ‘PATD’</w:t>
      </w:r>
      <w:r w:rsidRPr="008A1729">
        <w:rPr>
          <w:lang w:val="en-GB"/>
        </w:rPr>
        <w:t xml:space="preserve"> </w:t>
      </w:r>
      <w:r w:rsidR="00CE70D8" w:rsidRPr="00CE70D8">
        <w:rPr>
          <w:lang w:val="en-GB"/>
        </w:rPr>
        <w:t>(Partial Differ)</w:t>
      </w:r>
      <w:r w:rsidR="00CE70D8">
        <w:rPr>
          <w:lang w:val="en-GB"/>
        </w:rPr>
        <w:t xml:space="preserve"> </w:t>
      </w:r>
      <w:r w:rsidRPr="008A1729">
        <w:rPr>
          <w:lang w:val="en-GB"/>
        </w:rPr>
        <w:t xml:space="preserve">to the </w:t>
      </w:r>
      <w:r w:rsidR="00CE70D8">
        <w:rPr>
          <w:lang w:val="en-GB"/>
        </w:rPr>
        <w:t>‘</w:t>
      </w:r>
      <w:r w:rsidRPr="008A1729">
        <w:rPr>
          <w:lang w:val="en-GB"/>
        </w:rPr>
        <w:t>PEND</w:t>
      </w:r>
      <w:r w:rsidR="00CE70D8">
        <w:rPr>
          <w:lang w:val="en-GB"/>
        </w:rPr>
        <w:t>’</w:t>
      </w:r>
      <w:r w:rsidRPr="008A1729">
        <w:rPr>
          <w:lang w:val="en-GB"/>
        </w:rPr>
        <w:t xml:space="preserve"> (pending) and </w:t>
      </w:r>
      <w:r w:rsidR="00CE70D8">
        <w:rPr>
          <w:lang w:val="en-GB"/>
        </w:rPr>
        <w:t>‘</w:t>
      </w:r>
      <w:r w:rsidRPr="008A1729">
        <w:rPr>
          <w:lang w:val="en-GB"/>
        </w:rPr>
        <w:t>PENF</w:t>
      </w:r>
      <w:r w:rsidR="00CE70D8">
        <w:rPr>
          <w:lang w:val="en-GB"/>
        </w:rPr>
        <w:t>’</w:t>
      </w:r>
      <w:r w:rsidRPr="008A1729">
        <w:rPr>
          <w:lang w:val="en-GB"/>
        </w:rPr>
        <w:t xml:space="preserve"> (failing) qualifiers whenever a matched instruction is pending/failing and that there is a mismatch on the partial settlement indicator. So, a settlement</w:t>
      </w:r>
      <w:r>
        <w:rPr>
          <w:lang w:val="en-GB"/>
        </w:rPr>
        <w:t xml:space="preserve"> status with a new reason code ‘</w:t>
      </w:r>
      <w:r w:rsidRPr="008A1729">
        <w:rPr>
          <w:lang w:val="en-GB"/>
        </w:rPr>
        <w:t>PATD</w:t>
      </w:r>
      <w:r>
        <w:rPr>
          <w:lang w:val="en-GB"/>
        </w:rPr>
        <w:t>’</w:t>
      </w:r>
      <w:r w:rsidRPr="008A1729">
        <w:rPr>
          <w:lang w:val="en-GB"/>
        </w:rPr>
        <w:t xml:space="preserve"> will be provided to advice about this discrepancy during its whole life cycle.</w:t>
      </w:r>
    </w:p>
    <w:p w14:paraId="3A38B8EC" w14:textId="508D37C3" w:rsidR="00EB5142" w:rsidRDefault="00EB5142" w:rsidP="00EB5142">
      <w:pPr>
        <w:jc w:val="both"/>
        <w:rPr>
          <w:lang w:val="en-GB"/>
        </w:rPr>
      </w:pPr>
      <w:r w:rsidRPr="009C1AAC">
        <w:rPr>
          <w:lang w:val="en-GB"/>
        </w:rPr>
        <w:t>Some institutions (CSD/ICSD or direct</w:t>
      </w:r>
      <w:r>
        <w:rPr>
          <w:lang w:val="en-GB"/>
        </w:rPr>
        <w:t xml:space="preserve">ly connected T2S party) </w:t>
      </w:r>
      <w:r w:rsidRPr="00B8616D">
        <w:rPr>
          <w:lang w:val="en-GB"/>
        </w:rPr>
        <w:t xml:space="preserve">institutions may have </w:t>
      </w:r>
      <w:r>
        <w:rPr>
          <w:lang w:val="en-GB"/>
        </w:rPr>
        <w:t>needed</w:t>
      </w:r>
      <w:r w:rsidRPr="00B8616D">
        <w:rPr>
          <w:lang w:val="en-GB"/>
        </w:rPr>
        <w:t xml:space="preserve"> to report </w:t>
      </w:r>
      <w:r>
        <w:rPr>
          <w:lang w:val="en-GB"/>
        </w:rPr>
        <w:t xml:space="preserve">the information regarding </w:t>
      </w:r>
      <w:r w:rsidRPr="00B8616D">
        <w:rPr>
          <w:lang w:val="en-GB"/>
        </w:rPr>
        <w:t>a mismatch on the partial settlement indicator</w:t>
      </w:r>
      <w:r>
        <w:rPr>
          <w:lang w:val="en-GB"/>
        </w:rPr>
        <w:t xml:space="preserve">, </w:t>
      </w:r>
      <w:r w:rsidR="00D854DA" w:rsidRPr="00D854DA">
        <w:rPr>
          <w:lang w:val="en-GB"/>
        </w:rPr>
        <w:t>as is the case for the semt.018 usage</w:t>
      </w:r>
      <w:r w:rsidR="00CE70D8" w:rsidRPr="00D854DA">
        <w:rPr>
          <w:lang w:val="en-GB"/>
        </w:rPr>
        <w:t>.</w:t>
      </w:r>
    </w:p>
    <w:p w14:paraId="2D1AFC3E" w14:textId="77777777" w:rsidR="00EB5142" w:rsidRDefault="00EB5142" w:rsidP="00EB5142">
      <w:pPr>
        <w:jc w:val="both"/>
        <w:rPr>
          <w:lang w:val="en-GB"/>
        </w:rPr>
      </w:pPr>
    </w:p>
    <w:p w14:paraId="7F4BAD70" w14:textId="77777777" w:rsidR="00EB5142" w:rsidRPr="009C1AAC" w:rsidRDefault="00EB5142" w:rsidP="00EB5142">
      <w:pPr>
        <w:pStyle w:val="Heading2"/>
        <w:numPr>
          <w:ilvl w:val="0"/>
          <w:numId w:val="21"/>
        </w:numPr>
        <w:tabs>
          <w:tab w:val="left" w:pos="567"/>
        </w:tabs>
        <w:jc w:val="both"/>
        <w:rPr>
          <w:rFonts w:ascii="Times New Roman" w:hAnsi="Times New Roman"/>
          <w:b w:val="0"/>
          <w:sz w:val="24"/>
          <w:szCs w:val="24"/>
          <w:lang w:val="en-GB"/>
        </w:rPr>
      </w:pPr>
      <w:r w:rsidRPr="009C1AAC">
        <w:rPr>
          <w:rFonts w:ascii="Times New Roman" w:hAnsi="Times New Roman"/>
          <w:sz w:val="24"/>
          <w:szCs w:val="24"/>
          <w:lang w:val="en-GB"/>
        </w:rPr>
        <w:t>Urgency of the request:</w:t>
      </w:r>
    </w:p>
    <w:p w14:paraId="759E9C15" w14:textId="59327D43" w:rsidR="00F7236C" w:rsidRDefault="00D854DA" w:rsidP="00EB5142">
      <w:pPr>
        <w:jc w:val="both"/>
        <w:rPr>
          <w:lang w:val="en-GB"/>
        </w:rPr>
      </w:pPr>
      <w:r w:rsidRPr="00CE70D8">
        <w:rPr>
          <w:lang w:val="en-GB"/>
        </w:rPr>
        <w:t>We request the SEG to consider this change request for the next maintenance cycle.</w:t>
      </w:r>
    </w:p>
    <w:p w14:paraId="15499681" w14:textId="13FB564D" w:rsidR="00EB5142" w:rsidRDefault="00D854DA" w:rsidP="00EB5142">
      <w:pPr>
        <w:jc w:val="both"/>
        <w:rPr>
          <w:lang w:val="en-GB"/>
        </w:rPr>
      </w:pPr>
      <w:r w:rsidRPr="00CE70D8">
        <w:rPr>
          <w:lang w:val="en-GB"/>
        </w:rPr>
        <w:lastRenderedPageBreak/>
        <w:t>It may allow the semt.018 and semt.022 usage alignment.</w:t>
      </w:r>
    </w:p>
    <w:p w14:paraId="5EFA501F" w14:textId="77777777" w:rsidR="00EB5142" w:rsidRDefault="00EB5142" w:rsidP="00EB5142">
      <w:pPr>
        <w:pStyle w:val="Heading2"/>
        <w:numPr>
          <w:ilvl w:val="0"/>
          <w:numId w:val="21"/>
        </w:numPr>
        <w:tabs>
          <w:tab w:val="left" w:pos="567"/>
        </w:tabs>
        <w:jc w:val="both"/>
        <w:rPr>
          <w:rFonts w:ascii="Times New Roman" w:hAnsi="Times New Roman"/>
          <w:b w:val="0"/>
          <w:sz w:val="24"/>
          <w:szCs w:val="24"/>
          <w:lang w:val="en-GB"/>
        </w:rPr>
      </w:pPr>
      <w:r w:rsidRPr="009C1AAC">
        <w:rPr>
          <w:rFonts w:ascii="Times New Roman" w:hAnsi="Times New Roman"/>
          <w:sz w:val="24"/>
          <w:szCs w:val="24"/>
          <w:lang w:val="en-GB"/>
        </w:rPr>
        <w:t>Business examples:</w:t>
      </w:r>
    </w:p>
    <w:p w14:paraId="43E0A5F4" w14:textId="77777777" w:rsidR="00EB5142" w:rsidRPr="001F2AF5" w:rsidRDefault="00EB5142" w:rsidP="00EB5142">
      <w:pPr>
        <w:jc w:val="both"/>
        <w:rPr>
          <w:lang w:val="en-GB"/>
        </w:rPr>
      </w:pPr>
      <w:r w:rsidRPr="001F2AF5">
        <w:rPr>
          <w:lang w:val="en-GB"/>
        </w:rPr>
        <w:t xml:space="preserve">The Securities Settlement Transaction Audit Trail Report message (semt.022) is sent by T2S to a CSD or a directly connected T2S Party. </w:t>
      </w:r>
    </w:p>
    <w:p w14:paraId="1C4B62AD" w14:textId="77777777" w:rsidR="00EB5142" w:rsidRDefault="00EB5142" w:rsidP="00EB5142">
      <w:pPr>
        <w:jc w:val="both"/>
        <w:rPr>
          <w:lang w:val="en-GB"/>
        </w:rPr>
      </w:pPr>
      <w:r w:rsidRPr="001F2AF5">
        <w:rPr>
          <w:lang w:val="en-GB"/>
        </w:rPr>
        <w:t>The report provides historical data on all changes and amendments, including statuses, to a single security Settlement Instruction as identi</w:t>
      </w:r>
      <w:r>
        <w:rPr>
          <w:lang w:val="en-GB"/>
        </w:rPr>
        <w:t xml:space="preserve">fied within the query criteria </w:t>
      </w:r>
      <w:r w:rsidRPr="001F2AF5">
        <w:rPr>
          <w:lang w:val="en-GB"/>
        </w:rPr>
        <w:t>(either by the party’s instruction reference or by the T2S technical identifier) of the received Securities Transaction Status Query message (sese.021)</w:t>
      </w:r>
      <w:r>
        <w:rPr>
          <w:lang w:val="en-GB"/>
        </w:rPr>
        <w:t>.</w:t>
      </w:r>
    </w:p>
    <w:p w14:paraId="131542F1" w14:textId="77777777" w:rsidR="00EB5142" w:rsidRDefault="00EB5142" w:rsidP="00EB5142">
      <w:pPr>
        <w:rPr>
          <w:lang w:val="en-GB"/>
        </w:rPr>
      </w:pPr>
    </w:p>
    <w:p w14:paraId="31B5E4F4" w14:textId="77777777" w:rsidR="00EB5142" w:rsidRPr="002279A8" w:rsidRDefault="00EB5142" w:rsidP="00EB5142">
      <w:pPr>
        <w:rPr>
          <w:b/>
          <w:i/>
          <w:u w:val="single"/>
          <w:lang w:val="en-GB"/>
        </w:rPr>
      </w:pPr>
      <w:r w:rsidRPr="002279A8">
        <w:rPr>
          <w:b/>
          <w:i/>
          <w:u w:val="single"/>
          <w:lang w:val="en-GB"/>
        </w:rPr>
        <w:t>Communication flow:</w:t>
      </w:r>
    </w:p>
    <w:p w14:paraId="2A1D3078" w14:textId="77777777" w:rsidR="00EB5142" w:rsidRDefault="00EB5142" w:rsidP="00EB5142">
      <w:pPr>
        <w:rPr>
          <w:lang w:val="en-GB"/>
        </w:rPr>
      </w:pPr>
      <w:r>
        <w:rPr>
          <w:noProof/>
          <w:lang w:val="de-DE" w:eastAsia="de-DE"/>
        </w:rPr>
        <w:drawing>
          <wp:inline distT="0" distB="0" distL="0" distR="0" wp14:anchorId="438E483D" wp14:editId="2591712E">
            <wp:extent cx="5752018" cy="1804946"/>
            <wp:effectExtent l="0" t="0" r="127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6861" cy="1831569"/>
                    </a:xfrm>
                    <a:prstGeom prst="rect">
                      <a:avLst/>
                    </a:prstGeom>
                    <a:noFill/>
                    <a:ln>
                      <a:noFill/>
                    </a:ln>
                  </pic:spPr>
                </pic:pic>
              </a:graphicData>
            </a:graphic>
          </wp:inline>
        </w:drawing>
      </w:r>
    </w:p>
    <w:p w14:paraId="3CD93E8A" w14:textId="77777777" w:rsidR="00EB5142" w:rsidRDefault="00EB5142" w:rsidP="00EB5142">
      <w:pPr>
        <w:rPr>
          <w:lang w:val="en-GB"/>
        </w:rPr>
      </w:pPr>
    </w:p>
    <w:p w14:paraId="754110E4" w14:textId="77777777" w:rsidR="00EB5142" w:rsidRPr="002279A8" w:rsidRDefault="00EB5142" w:rsidP="00EB5142">
      <w:pPr>
        <w:rPr>
          <w:b/>
          <w:i/>
          <w:u w:val="single"/>
          <w:lang w:val="en-GB"/>
        </w:rPr>
      </w:pPr>
      <w:r w:rsidRPr="002279A8">
        <w:rPr>
          <w:b/>
          <w:i/>
          <w:u w:val="single"/>
          <w:lang w:val="en-GB"/>
        </w:rPr>
        <w:t>semt.022 message example:</w:t>
      </w:r>
    </w:p>
    <w:p w14:paraId="5C31F615" w14:textId="77777777" w:rsidR="00EB5142" w:rsidRDefault="00EB5142" w:rsidP="00EB5142">
      <w:pPr>
        <w:jc w:val="both"/>
        <w:rPr>
          <w:lang w:val="en-GB"/>
        </w:rPr>
      </w:pPr>
      <w:r>
        <w:rPr>
          <w:noProof/>
          <w:lang w:val="de-DE" w:eastAsia="de-DE"/>
        </w:rPr>
        <w:lastRenderedPageBreak/>
        <w:drawing>
          <wp:inline distT="0" distB="0" distL="0" distR="0" wp14:anchorId="022F901A" wp14:editId="75B7DAC2">
            <wp:extent cx="5756442" cy="4079019"/>
            <wp:effectExtent l="19050" t="19050" r="15875" b="171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9539" cy="4095386"/>
                    </a:xfrm>
                    <a:prstGeom prst="rect">
                      <a:avLst/>
                    </a:prstGeom>
                    <a:noFill/>
                    <a:ln>
                      <a:solidFill>
                        <a:schemeClr val="tx1"/>
                      </a:solidFill>
                    </a:ln>
                  </pic:spPr>
                </pic:pic>
              </a:graphicData>
            </a:graphic>
          </wp:inline>
        </w:drawing>
      </w:r>
    </w:p>
    <w:p w14:paraId="03BA7C31" w14:textId="77777777" w:rsidR="00EB5142" w:rsidRPr="002279A8" w:rsidRDefault="00EB5142" w:rsidP="00EB5142">
      <w:pPr>
        <w:jc w:val="both"/>
        <w:rPr>
          <w:lang w:val="en-GB"/>
        </w:rPr>
      </w:pPr>
      <w:r w:rsidRPr="002279A8">
        <w:rPr>
          <w:lang w:val="en-GB"/>
        </w:rPr>
        <w:t>In this example, T2S sends a Securities Settlement Transaction Audit Trail Report as requested by the T2S Party using the message Secur</w:t>
      </w:r>
      <w:r>
        <w:rPr>
          <w:lang w:val="en-GB"/>
        </w:rPr>
        <w:t xml:space="preserve">ities Transaction Status Query </w:t>
      </w:r>
      <w:r w:rsidRPr="002279A8">
        <w:rPr>
          <w:lang w:val="en-GB"/>
        </w:rPr>
        <w:t>regarding a Settlement Instruction with an account owner transaction id with a value of ‘</w:t>
      </w:r>
      <w:r>
        <w:rPr>
          <w:lang w:val="en-GB"/>
        </w:rPr>
        <w:t>654321</w:t>
      </w:r>
      <w:r w:rsidRPr="002279A8">
        <w:rPr>
          <w:lang w:val="en-GB"/>
        </w:rPr>
        <w:t>’. The transaction as reported has been:</w:t>
      </w:r>
    </w:p>
    <w:p w14:paraId="243B213E" w14:textId="77777777" w:rsidR="00EB5142" w:rsidRPr="00CE70D8" w:rsidRDefault="00EB5142" w:rsidP="00EB5142">
      <w:pPr>
        <w:pStyle w:val="ListParagraph"/>
        <w:numPr>
          <w:ilvl w:val="0"/>
          <w:numId w:val="19"/>
        </w:numPr>
        <w:rPr>
          <w:sz w:val="24"/>
          <w:szCs w:val="24"/>
          <w:lang w:val="en-GB"/>
        </w:rPr>
      </w:pPr>
      <w:r w:rsidRPr="00CE70D8">
        <w:rPr>
          <w:sz w:val="24"/>
          <w:szCs w:val="24"/>
          <w:lang w:val="en-GB"/>
        </w:rPr>
        <w:t>accepted (</w:t>
      </w:r>
      <w:proofErr w:type="spellStart"/>
      <w:r w:rsidRPr="00CE70D8">
        <w:rPr>
          <w:sz w:val="24"/>
          <w:szCs w:val="24"/>
          <w:lang w:val="en-GB"/>
        </w:rPr>
        <w:t>AckAccptd</w:t>
      </w:r>
      <w:proofErr w:type="spellEnd"/>
      <w:r w:rsidRPr="00CE70D8">
        <w:rPr>
          <w:sz w:val="24"/>
          <w:szCs w:val="24"/>
          <w:lang w:val="en-GB"/>
        </w:rPr>
        <w:t>)</w:t>
      </w:r>
    </w:p>
    <w:p w14:paraId="0B771F45" w14:textId="77777777" w:rsidR="00EB5142" w:rsidRPr="00CE70D8" w:rsidRDefault="00EB5142" w:rsidP="00EB5142">
      <w:pPr>
        <w:pStyle w:val="ListParagraph"/>
        <w:numPr>
          <w:ilvl w:val="0"/>
          <w:numId w:val="19"/>
        </w:numPr>
        <w:rPr>
          <w:sz w:val="24"/>
          <w:szCs w:val="24"/>
          <w:lang w:val="en-GB"/>
        </w:rPr>
      </w:pPr>
      <w:r w:rsidRPr="00CE70D8">
        <w:rPr>
          <w:sz w:val="24"/>
          <w:szCs w:val="24"/>
          <w:lang w:val="en-GB"/>
        </w:rPr>
        <w:t>matched (</w:t>
      </w:r>
      <w:proofErr w:type="spellStart"/>
      <w:r w:rsidRPr="00CE70D8">
        <w:rPr>
          <w:sz w:val="24"/>
          <w:szCs w:val="24"/>
          <w:lang w:val="en-GB"/>
        </w:rPr>
        <w:t>Mtchd</w:t>
      </w:r>
      <w:proofErr w:type="spellEnd"/>
      <w:r w:rsidRPr="00CE70D8">
        <w:rPr>
          <w:sz w:val="24"/>
          <w:szCs w:val="24"/>
          <w:lang w:val="en-GB"/>
        </w:rPr>
        <w:t>)</w:t>
      </w:r>
    </w:p>
    <w:p w14:paraId="73F74213" w14:textId="77777777" w:rsidR="00EB5142" w:rsidRPr="00CE70D8" w:rsidRDefault="00EB5142" w:rsidP="00EB5142">
      <w:pPr>
        <w:pStyle w:val="ListParagraph"/>
        <w:numPr>
          <w:ilvl w:val="0"/>
          <w:numId w:val="19"/>
        </w:numPr>
        <w:rPr>
          <w:sz w:val="24"/>
          <w:szCs w:val="24"/>
          <w:lang w:val="en-GB"/>
        </w:rPr>
      </w:pPr>
      <w:r w:rsidRPr="00CE70D8">
        <w:rPr>
          <w:sz w:val="24"/>
          <w:szCs w:val="24"/>
          <w:lang w:val="en-GB"/>
        </w:rPr>
        <w:t>unsettled-pending with a partial differ (PATD) pending reason code.</w:t>
      </w:r>
    </w:p>
    <w:p w14:paraId="4962814F" w14:textId="6A031545" w:rsidR="00EB5142" w:rsidRDefault="00EB5142" w:rsidP="00567F13">
      <w:pPr>
        <w:rPr>
          <w:szCs w:val="24"/>
          <w:lang w:val="en-GB"/>
        </w:rPr>
      </w:pPr>
    </w:p>
    <w:p w14:paraId="79F1FF07" w14:textId="77777777" w:rsidR="00F8514A" w:rsidRDefault="00F8514A" w:rsidP="00567F13">
      <w:pPr>
        <w:rPr>
          <w:szCs w:val="24"/>
          <w:lang w:val="en-GB"/>
        </w:rPr>
      </w:pPr>
    </w:p>
    <w:p w14:paraId="2FBD13C9" w14:textId="77777777" w:rsidR="00F8514A" w:rsidRDefault="00F8514A" w:rsidP="00567F13">
      <w:pPr>
        <w:rPr>
          <w:szCs w:val="24"/>
          <w:lang w:val="en-GB"/>
        </w:rPr>
      </w:pPr>
    </w:p>
    <w:p w14:paraId="18687FDE" w14:textId="77777777" w:rsidR="00F8514A" w:rsidRDefault="00F8514A" w:rsidP="00567F13">
      <w:pPr>
        <w:rPr>
          <w:szCs w:val="24"/>
          <w:lang w:val="en-GB"/>
        </w:rPr>
      </w:pPr>
    </w:p>
    <w:p w14:paraId="5E5ACCAF" w14:textId="77777777" w:rsidR="00F8514A" w:rsidRDefault="00F8514A" w:rsidP="00567F13">
      <w:pPr>
        <w:rPr>
          <w:szCs w:val="24"/>
          <w:lang w:val="en-GB"/>
        </w:rPr>
      </w:pPr>
    </w:p>
    <w:p w14:paraId="18D2B27D" w14:textId="77777777" w:rsidR="00F8514A" w:rsidRDefault="00F8514A" w:rsidP="00567F13">
      <w:pPr>
        <w:rPr>
          <w:szCs w:val="24"/>
          <w:lang w:val="en-GB"/>
        </w:rPr>
      </w:pPr>
    </w:p>
    <w:p w14:paraId="7D60191C" w14:textId="77777777" w:rsidR="00F8514A" w:rsidRDefault="00F8514A" w:rsidP="00567F13">
      <w:pPr>
        <w:rPr>
          <w:szCs w:val="24"/>
          <w:lang w:val="en-GB"/>
        </w:rPr>
      </w:pPr>
    </w:p>
    <w:p w14:paraId="075E833F" w14:textId="77777777" w:rsidR="00F8514A" w:rsidRDefault="00F8514A" w:rsidP="00567F13">
      <w:pPr>
        <w:rPr>
          <w:szCs w:val="24"/>
          <w:lang w:val="en-GB"/>
        </w:rPr>
      </w:pPr>
    </w:p>
    <w:p w14:paraId="0C7D3D9B" w14:textId="77777777" w:rsidR="00F7236C" w:rsidRPr="00971A0F" w:rsidRDefault="00F7236C" w:rsidP="00F7236C">
      <w:pPr>
        <w:pStyle w:val="Heading2"/>
        <w:numPr>
          <w:ilvl w:val="0"/>
          <w:numId w:val="21"/>
        </w:numPr>
        <w:tabs>
          <w:tab w:val="left" w:pos="567"/>
        </w:tabs>
        <w:jc w:val="both"/>
        <w:rPr>
          <w:rFonts w:ascii="Times New Roman" w:hAnsi="Times New Roman"/>
          <w:sz w:val="24"/>
          <w:szCs w:val="24"/>
          <w:lang w:val="en-GB"/>
        </w:rPr>
      </w:pPr>
      <w:r w:rsidRPr="00971A0F">
        <w:rPr>
          <w:rFonts w:ascii="Times New Roman" w:hAnsi="Times New Roman"/>
          <w:sz w:val="24"/>
          <w:szCs w:val="24"/>
          <w:lang w:val="en-GB"/>
        </w:rPr>
        <w:lastRenderedPageBreak/>
        <w:t>SEG/TSG recommendation:</w:t>
      </w:r>
    </w:p>
    <w:p w14:paraId="3BB1094C" w14:textId="77777777" w:rsidR="00F7236C" w:rsidRDefault="00F7236C" w:rsidP="00F7236C">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11BE85F9" w14:textId="77777777" w:rsidR="00F7236C" w:rsidRDefault="00F7236C" w:rsidP="00F7236C">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F7236C" w:rsidRPr="006D7FF8" w14:paraId="4AC09DED" w14:textId="77777777" w:rsidTr="00516F69">
        <w:trPr>
          <w:gridAfter w:val="3"/>
          <w:wAfter w:w="5623" w:type="dxa"/>
        </w:trPr>
        <w:tc>
          <w:tcPr>
            <w:tcW w:w="1242" w:type="dxa"/>
            <w:gridSpan w:val="2"/>
          </w:tcPr>
          <w:p w14:paraId="5526615F" w14:textId="77777777" w:rsidR="00F7236C" w:rsidRPr="00E3221E" w:rsidRDefault="00F7236C" w:rsidP="00516F69">
            <w:pPr>
              <w:rPr>
                <w:b/>
                <w:szCs w:val="24"/>
                <w:lang w:val="en-GB"/>
              </w:rPr>
            </w:pPr>
            <w:r w:rsidRPr="00E3221E">
              <w:rPr>
                <w:b/>
                <w:szCs w:val="24"/>
                <w:lang w:val="en-GB"/>
              </w:rPr>
              <w:t>Consider</w:t>
            </w:r>
          </w:p>
        </w:tc>
        <w:tc>
          <w:tcPr>
            <w:tcW w:w="567" w:type="dxa"/>
          </w:tcPr>
          <w:p w14:paraId="3C725107" w14:textId="77777777" w:rsidR="00F7236C" w:rsidRPr="00AD7CD5" w:rsidRDefault="00F7236C" w:rsidP="00516F69">
            <w:pPr>
              <w:rPr>
                <w:color w:val="FF0000"/>
                <w:szCs w:val="24"/>
                <w:lang w:val="en-GB"/>
              </w:rPr>
            </w:pPr>
          </w:p>
        </w:tc>
        <w:tc>
          <w:tcPr>
            <w:tcW w:w="1701" w:type="dxa"/>
            <w:tcBorders>
              <w:top w:val="single" w:sz="4" w:space="0" w:color="auto"/>
              <w:right w:val="single" w:sz="4" w:space="0" w:color="auto"/>
            </w:tcBorders>
          </w:tcPr>
          <w:p w14:paraId="089B5961" w14:textId="77777777" w:rsidR="00F7236C" w:rsidRPr="00E3221E" w:rsidRDefault="00F7236C" w:rsidP="00516F69">
            <w:pPr>
              <w:rPr>
                <w:b/>
                <w:szCs w:val="24"/>
                <w:lang w:val="en-GB"/>
              </w:rPr>
            </w:pPr>
            <w:r w:rsidRPr="00E3221E">
              <w:rPr>
                <w:b/>
                <w:szCs w:val="24"/>
                <w:lang w:val="en-GB"/>
              </w:rPr>
              <w:t>Timing</w:t>
            </w:r>
          </w:p>
        </w:tc>
      </w:tr>
      <w:tr w:rsidR="00F7236C" w:rsidRPr="006D7FF8" w14:paraId="1723D92D" w14:textId="77777777" w:rsidTr="00516F69">
        <w:trPr>
          <w:gridBefore w:val="1"/>
          <w:gridAfter w:val="1"/>
          <w:wBefore w:w="1059" w:type="dxa"/>
          <w:wAfter w:w="945" w:type="dxa"/>
          <w:trHeight w:val="501"/>
        </w:trPr>
        <w:tc>
          <w:tcPr>
            <w:tcW w:w="750" w:type="dxa"/>
            <w:gridSpan w:val="2"/>
            <w:tcBorders>
              <w:left w:val="nil"/>
              <w:bottom w:val="nil"/>
            </w:tcBorders>
          </w:tcPr>
          <w:p w14:paraId="5A777612" w14:textId="77777777" w:rsidR="00F7236C" w:rsidRDefault="00F7236C" w:rsidP="00516F69">
            <w:pPr>
              <w:rPr>
                <w:szCs w:val="24"/>
                <w:lang w:val="en-GB"/>
              </w:rPr>
            </w:pPr>
          </w:p>
        </w:tc>
        <w:tc>
          <w:tcPr>
            <w:tcW w:w="5954" w:type="dxa"/>
            <w:gridSpan w:val="2"/>
          </w:tcPr>
          <w:p w14:paraId="33F97CBD" w14:textId="77777777" w:rsidR="00F7236C" w:rsidRDefault="00F7236C" w:rsidP="00516F69">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05331D3B" w14:textId="77777777" w:rsidR="00F7236C" w:rsidRPr="006D7FF8" w:rsidRDefault="00F7236C" w:rsidP="00516F69">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14F50740" w14:textId="57895174" w:rsidR="00F7236C" w:rsidRPr="00AD7CD5" w:rsidRDefault="00526D88" w:rsidP="00516F69">
            <w:pPr>
              <w:spacing w:before="0"/>
              <w:jc w:val="both"/>
              <w:rPr>
                <w:color w:val="FF0000"/>
                <w:szCs w:val="24"/>
                <w:lang w:val="en-GB"/>
              </w:rPr>
            </w:pPr>
            <w:r>
              <w:rPr>
                <w:color w:val="FF0000"/>
                <w:szCs w:val="24"/>
                <w:lang w:val="en-GB"/>
              </w:rPr>
              <w:t>X</w:t>
            </w:r>
          </w:p>
        </w:tc>
      </w:tr>
      <w:tr w:rsidR="00F7236C" w:rsidRPr="006D7FF8" w14:paraId="1B496FE6" w14:textId="77777777" w:rsidTr="00516F69">
        <w:trPr>
          <w:gridBefore w:val="1"/>
          <w:gridAfter w:val="1"/>
          <w:wBefore w:w="1059" w:type="dxa"/>
          <w:wAfter w:w="945" w:type="dxa"/>
          <w:trHeight w:val="501"/>
        </w:trPr>
        <w:tc>
          <w:tcPr>
            <w:tcW w:w="750" w:type="dxa"/>
            <w:gridSpan w:val="2"/>
            <w:tcBorders>
              <w:top w:val="nil"/>
              <w:left w:val="nil"/>
              <w:bottom w:val="nil"/>
            </w:tcBorders>
          </w:tcPr>
          <w:p w14:paraId="554F4C4B" w14:textId="77777777" w:rsidR="00F7236C" w:rsidRDefault="00F7236C" w:rsidP="00516F69">
            <w:pPr>
              <w:spacing w:before="0"/>
              <w:rPr>
                <w:szCs w:val="24"/>
                <w:lang w:val="en-GB"/>
              </w:rPr>
            </w:pPr>
          </w:p>
        </w:tc>
        <w:tc>
          <w:tcPr>
            <w:tcW w:w="5954" w:type="dxa"/>
            <w:gridSpan w:val="2"/>
          </w:tcPr>
          <w:p w14:paraId="5E2EB4E2" w14:textId="77777777" w:rsidR="00F7236C" w:rsidRDefault="00F7236C" w:rsidP="00516F69">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40DE218F" w14:textId="77777777" w:rsidR="00F7236C" w:rsidRDefault="00F7236C" w:rsidP="00516F69">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4BA5486" w14:textId="77777777" w:rsidR="00F7236C" w:rsidRPr="00AD7CD5" w:rsidRDefault="00F7236C" w:rsidP="00516F69">
            <w:pPr>
              <w:spacing w:before="0"/>
              <w:jc w:val="center"/>
              <w:rPr>
                <w:color w:val="FF0000"/>
                <w:szCs w:val="24"/>
                <w:lang w:val="en-GB"/>
              </w:rPr>
            </w:pPr>
          </w:p>
        </w:tc>
      </w:tr>
      <w:tr w:rsidR="00F7236C" w:rsidRPr="006D7FF8" w14:paraId="1F2FEBFF" w14:textId="77777777" w:rsidTr="00516F69">
        <w:trPr>
          <w:gridBefore w:val="1"/>
          <w:wBefore w:w="1059" w:type="dxa"/>
          <w:trHeight w:val="511"/>
        </w:trPr>
        <w:tc>
          <w:tcPr>
            <w:tcW w:w="750" w:type="dxa"/>
            <w:gridSpan w:val="2"/>
            <w:tcBorders>
              <w:top w:val="nil"/>
              <w:left w:val="nil"/>
              <w:bottom w:val="nil"/>
            </w:tcBorders>
          </w:tcPr>
          <w:p w14:paraId="6B568E83" w14:textId="77777777" w:rsidR="00F7236C" w:rsidRDefault="00F7236C" w:rsidP="00516F69">
            <w:pPr>
              <w:spacing w:before="0"/>
              <w:rPr>
                <w:szCs w:val="24"/>
                <w:lang w:val="en-GB"/>
              </w:rPr>
            </w:pPr>
          </w:p>
        </w:tc>
        <w:tc>
          <w:tcPr>
            <w:tcW w:w="5954" w:type="dxa"/>
            <w:gridSpan w:val="2"/>
          </w:tcPr>
          <w:p w14:paraId="72A62E20" w14:textId="77777777" w:rsidR="00F7236C" w:rsidRDefault="00F7236C" w:rsidP="00516F69">
            <w:pPr>
              <w:spacing w:before="0"/>
              <w:jc w:val="both"/>
              <w:rPr>
                <w:szCs w:val="24"/>
                <w:lang w:val="en-GB"/>
              </w:rPr>
            </w:pPr>
            <w:r>
              <w:rPr>
                <w:szCs w:val="24"/>
                <w:lang w:val="en-GB"/>
              </w:rPr>
              <w:t xml:space="preserve">- </w:t>
            </w:r>
            <w:r w:rsidRPr="00E3221E">
              <w:rPr>
                <w:b/>
                <w:szCs w:val="24"/>
                <w:lang w:val="en-GB"/>
              </w:rPr>
              <w:t>Urgent unscheduled</w:t>
            </w:r>
          </w:p>
          <w:p w14:paraId="6C446940" w14:textId="77777777" w:rsidR="00F7236C" w:rsidRDefault="00F7236C" w:rsidP="00516F69">
            <w:pPr>
              <w:spacing w:before="0"/>
              <w:rPr>
                <w:szCs w:val="24"/>
                <w:lang w:val="en-GB"/>
              </w:rPr>
            </w:pPr>
            <w:r>
              <w:rPr>
                <w:szCs w:val="24"/>
                <w:lang w:val="en-GB"/>
              </w:rPr>
              <w:t>(the change justifies an urgent implementation outside of the normal yearly cycle)</w:t>
            </w:r>
          </w:p>
        </w:tc>
        <w:tc>
          <w:tcPr>
            <w:tcW w:w="425" w:type="dxa"/>
          </w:tcPr>
          <w:p w14:paraId="17869E2F" w14:textId="77777777" w:rsidR="00F7236C" w:rsidRPr="00AD7CD5" w:rsidRDefault="00F7236C" w:rsidP="00516F69">
            <w:pPr>
              <w:jc w:val="center"/>
              <w:rPr>
                <w:color w:val="FF0000"/>
                <w:szCs w:val="24"/>
                <w:lang w:val="en-GB"/>
              </w:rPr>
            </w:pPr>
          </w:p>
        </w:tc>
        <w:tc>
          <w:tcPr>
            <w:tcW w:w="945" w:type="dxa"/>
            <w:tcBorders>
              <w:top w:val="nil"/>
              <w:bottom w:val="nil"/>
              <w:right w:val="nil"/>
            </w:tcBorders>
          </w:tcPr>
          <w:p w14:paraId="226F3423" w14:textId="77777777" w:rsidR="00F7236C" w:rsidRDefault="00F7236C" w:rsidP="00516F69">
            <w:pPr>
              <w:ind w:left="360"/>
              <w:jc w:val="both"/>
              <w:rPr>
                <w:szCs w:val="24"/>
                <w:lang w:val="en-GB"/>
              </w:rPr>
            </w:pPr>
          </w:p>
        </w:tc>
      </w:tr>
      <w:tr w:rsidR="00F7236C" w:rsidRPr="006D7FF8" w14:paraId="307D4A25" w14:textId="77777777" w:rsidTr="00516F69">
        <w:trPr>
          <w:gridBefore w:val="1"/>
          <w:wBefore w:w="1059" w:type="dxa"/>
          <w:trHeight w:val="511"/>
        </w:trPr>
        <w:tc>
          <w:tcPr>
            <w:tcW w:w="750" w:type="dxa"/>
            <w:gridSpan w:val="2"/>
            <w:tcBorders>
              <w:top w:val="nil"/>
              <w:left w:val="nil"/>
              <w:bottom w:val="nil"/>
            </w:tcBorders>
          </w:tcPr>
          <w:p w14:paraId="0C7D61D8" w14:textId="77777777" w:rsidR="00F7236C" w:rsidRDefault="00F7236C" w:rsidP="00516F69">
            <w:pPr>
              <w:spacing w:before="0"/>
              <w:rPr>
                <w:szCs w:val="24"/>
                <w:lang w:val="en-GB"/>
              </w:rPr>
            </w:pPr>
          </w:p>
        </w:tc>
        <w:tc>
          <w:tcPr>
            <w:tcW w:w="6379" w:type="dxa"/>
            <w:gridSpan w:val="3"/>
          </w:tcPr>
          <w:p w14:paraId="411F4488" w14:textId="77777777" w:rsidR="00F7236C" w:rsidRPr="00AD7CD5" w:rsidRDefault="00F7236C" w:rsidP="00516F69">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6794DD8F" w14:textId="77777777" w:rsidR="00F7236C" w:rsidRDefault="00F7236C" w:rsidP="00516F69">
            <w:pPr>
              <w:ind w:left="360"/>
              <w:jc w:val="both"/>
              <w:rPr>
                <w:szCs w:val="24"/>
                <w:lang w:val="en-GB"/>
              </w:rPr>
            </w:pPr>
          </w:p>
          <w:p w14:paraId="5504B414" w14:textId="77777777" w:rsidR="00F7236C" w:rsidRDefault="00F7236C" w:rsidP="00516F69">
            <w:pPr>
              <w:ind w:left="360"/>
              <w:jc w:val="both"/>
              <w:rPr>
                <w:szCs w:val="24"/>
                <w:lang w:val="en-GB"/>
              </w:rPr>
            </w:pPr>
          </w:p>
        </w:tc>
      </w:tr>
    </w:tbl>
    <w:p w14:paraId="51922FFA" w14:textId="77777777" w:rsidR="00F7236C" w:rsidRDefault="00F7236C" w:rsidP="00F7236C">
      <w:pPr>
        <w:rPr>
          <w:szCs w:val="24"/>
          <w:lang w:val="en-GB"/>
        </w:rPr>
      </w:pPr>
      <w:r>
        <w:rPr>
          <w:szCs w:val="24"/>
          <w:lang w:val="en-GB"/>
        </w:rPr>
        <w:t>Comments:</w:t>
      </w:r>
    </w:p>
    <w:p w14:paraId="70476F0C" w14:textId="77777777" w:rsidR="00F7236C" w:rsidRDefault="00F7236C" w:rsidP="00F7236C">
      <w:pPr>
        <w:rPr>
          <w:szCs w:val="24"/>
          <w:lang w:val="en-GB"/>
        </w:rPr>
      </w:pPr>
    </w:p>
    <w:p w14:paraId="7F7C0868" w14:textId="77777777" w:rsidR="00F7236C" w:rsidRDefault="00F7236C" w:rsidP="00F7236C">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F7236C" w:rsidRPr="00AD7CD5" w14:paraId="71653E68" w14:textId="77777777" w:rsidTr="00516F69">
        <w:tc>
          <w:tcPr>
            <w:tcW w:w="1242" w:type="dxa"/>
          </w:tcPr>
          <w:p w14:paraId="545B7118" w14:textId="77777777" w:rsidR="00F7236C" w:rsidRPr="00E3221E" w:rsidRDefault="00F7236C" w:rsidP="00516F69">
            <w:pPr>
              <w:rPr>
                <w:b/>
                <w:szCs w:val="24"/>
                <w:lang w:val="en-GB"/>
              </w:rPr>
            </w:pPr>
            <w:r w:rsidRPr="00E3221E">
              <w:rPr>
                <w:b/>
                <w:szCs w:val="24"/>
                <w:lang w:val="en-GB"/>
              </w:rPr>
              <w:t>Reject</w:t>
            </w:r>
          </w:p>
        </w:tc>
        <w:tc>
          <w:tcPr>
            <w:tcW w:w="567" w:type="dxa"/>
          </w:tcPr>
          <w:p w14:paraId="530E9489" w14:textId="77777777" w:rsidR="00F7236C" w:rsidRPr="00AD7CD5" w:rsidRDefault="00F7236C" w:rsidP="00516F69">
            <w:pPr>
              <w:rPr>
                <w:color w:val="FF0000"/>
                <w:szCs w:val="24"/>
                <w:lang w:val="en-GB"/>
              </w:rPr>
            </w:pPr>
          </w:p>
        </w:tc>
      </w:tr>
    </w:tbl>
    <w:p w14:paraId="54181889" w14:textId="77777777" w:rsidR="00F7236C" w:rsidRDefault="00F7236C" w:rsidP="00F7236C">
      <w:pPr>
        <w:rPr>
          <w:szCs w:val="24"/>
          <w:lang w:val="en-GB"/>
        </w:rPr>
      </w:pPr>
      <w:r w:rsidRPr="00567F13">
        <w:rPr>
          <w:szCs w:val="24"/>
          <w:lang w:val="en-GB"/>
        </w:rPr>
        <w:t>Reason for rejection:</w:t>
      </w:r>
    </w:p>
    <w:p w14:paraId="1353E5C4" w14:textId="77777777" w:rsidR="00F7236C" w:rsidRPr="00567F13" w:rsidRDefault="00F7236C" w:rsidP="00567F13">
      <w:pPr>
        <w:rPr>
          <w:szCs w:val="24"/>
          <w:lang w:val="en-GB"/>
        </w:rPr>
      </w:pPr>
    </w:p>
    <w:sectPr w:rsidR="00F7236C" w:rsidRPr="00567F13" w:rsidSect="0072573F">
      <w:headerReference w:type="even" r:id="rId18"/>
      <w:headerReference w:type="default" r:id="rId19"/>
      <w:footerReference w:type="even" r:id="rId20"/>
      <w:footerReference w:type="default" r:id="rId21"/>
      <w:headerReference w:type="first" r:id="rId22"/>
      <w:footerReference w:type="first" r:id="rId2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FE45" w14:textId="77777777" w:rsidR="0072573F" w:rsidRDefault="0072573F">
      <w:r>
        <w:separator/>
      </w:r>
    </w:p>
  </w:endnote>
  <w:endnote w:type="continuationSeparator" w:id="0">
    <w:p w14:paraId="7831070C" w14:textId="77777777" w:rsidR="0072573F" w:rsidRDefault="0072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6BDF" w14:textId="77777777" w:rsidR="00526D88" w:rsidRDefault="00526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0A1A47BF" w:rsidR="00567F13" w:rsidRDefault="00526D88" w:rsidP="00526D88">
    <w:pPr>
      <w:pStyle w:val="Footer"/>
      <w:tabs>
        <w:tab w:val="left" w:pos="1390"/>
      </w:tabs>
      <w:rPr>
        <w:rStyle w:val="PageNumber"/>
      </w:rPr>
    </w:pPr>
    <w:fldSimple w:instr=" FILENAME   \* MERGEFORMAT ">
      <w:r>
        <w:rPr>
          <w:noProof/>
        </w:rPr>
        <w:t>CR1372_t2s_eurosystem_semt.022_add-prel-and-patd-codes_v2.docx</w:t>
      </w:r>
    </w:fldSimple>
    <w:r w:rsidR="00621842">
      <w:tab/>
    </w:r>
    <w:r>
      <w:tab/>
    </w:r>
    <w:r w:rsidR="00621842">
      <w:t>Produced by 4CB</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3F270D">
      <w:rPr>
        <w:rStyle w:val="PageNumber"/>
        <w:noProof/>
      </w:rPr>
      <w:t>6</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6CF6" w14:textId="77777777" w:rsidR="00526D88" w:rsidRDefault="00526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5DBE" w14:textId="77777777" w:rsidR="0072573F" w:rsidRDefault="0072573F">
      <w:r>
        <w:separator/>
      </w:r>
    </w:p>
  </w:footnote>
  <w:footnote w:type="continuationSeparator" w:id="0">
    <w:p w14:paraId="6F99F3C7" w14:textId="77777777" w:rsidR="0072573F" w:rsidRDefault="0072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8A04" w14:textId="77777777" w:rsidR="00526D88" w:rsidRDefault="00526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7DAD65D7" w:rsidR="00E74C04" w:rsidRPr="00801493" w:rsidRDefault="00801493">
    <w:pPr>
      <w:pStyle w:val="Header"/>
      <w:rPr>
        <w:lang w:val="fr-BE"/>
      </w:rPr>
    </w:pPr>
    <w:r>
      <w:rPr>
        <w:lang w:val="fr-BE"/>
      </w:rPr>
      <w:t xml:space="preserve">RA ID : </w:t>
    </w:r>
    <w:r w:rsidR="00F8514A">
      <w:rPr>
        <w:lang w:val="fr-BE"/>
      </w:rPr>
      <w:t>CR1372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FDE7" w14:textId="77777777" w:rsidR="00526D88" w:rsidRDefault="00526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148EFD92"/>
    <w:lvl w:ilvl="0" w:tplc="64B85DDC">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ED42E28"/>
    <w:multiLevelType w:val="hybridMultilevel"/>
    <w:tmpl w:val="F9BA0F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84705A"/>
    <w:multiLevelType w:val="hybridMultilevel"/>
    <w:tmpl w:val="D530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2C3794"/>
    <w:multiLevelType w:val="hybridMultilevel"/>
    <w:tmpl w:val="0CD8F80A"/>
    <w:lvl w:ilvl="0" w:tplc="FD8A5AAE">
      <w:start w:val="1"/>
      <w:numFmt w:val="upperLetter"/>
      <w:lvlText w:val="%1."/>
      <w:lvlJc w:val="left"/>
      <w:pPr>
        <w:tabs>
          <w:tab w:val="num" w:pos="360"/>
        </w:tabs>
        <w:ind w:left="3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6"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673F96"/>
    <w:multiLevelType w:val="hybridMultilevel"/>
    <w:tmpl w:val="BDC60F1C"/>
    <w:lvl w:ilvl="0" w:tplc="1C6CB56C">
      <w:start w:val="1"/>
      <w:numFmt w:val="upperLetter"/>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70565801">
    <w:abstractNumId w:val="2"/>
  </w:num>
  <w:num w:numId="2" w16cid:durableId="1353722954">
    <w:abstractNumId w:val="0"/>
  </w:num>
  <w:num w:numId="3" w16cid:durableId="226108419">
    <w:abstractNumId w:val="1"/>
  </w:num>
  <w:num w:numId="4" w16cid:durableId="774862635">
    <w:abstractNumId w:val="3"/>
  </w:num>
  <w:num w:numId="5" w16cid:durableId="124465676">
    <w:abstractNumId w:val="18"/>
  </w:num>
  <w:num w:numId="6" w16cid:durableId="935938225">
    <w:abstractNumId w:val="8"/>
  </w:num>
  <w:num w:numId="7" w16cid:durableId="1635286312">
    <w:abstractNumId w:val="11"/>
  </w:num>
  <w:num w:numId="8" w16cid:durableId="2048943854">
    <w:abstractNumId w:val="9"/>
  </w:num>
  <w:num w:numId="9" w16cid:durableId="958340641">
    <w:abstractNumId w:val="17"/>
  </w:num>
  <w:num w:numId="10" w16cid:durableId="1995451124">
    <w:abstractNumId w:val="5"/>
  </w:num>
  <w:num w:numId="11" w16cid:durableId="1297368340">
    <w:abstractNumId w:val="7"/>
  </w:num>
  <w:num w:numId="12" w16cid:durableId="188226813">
    <w:abstractNumId w:val="10"/>
  </w:num>
  <w:num w:numId="13" w16cid:durableId="180319631">
    <w:abstractNumId w:val="4"/>
  </w:num>
  <w:num w:numId="14" w16cid:durableId="1700009372">
    <w:abstractNumId w:val="6"/>
  </w:num>
  <w:num w:numId="15" w16cid:durableId="1028872495">
    <w:abstractNumId w:val="16"/>
  </w:num>
  <w:num w:numId="16" w16cid:durableId="679627549">
    <w:abstractNumId w:val="14"/>
  </w:num>
  <w:num w:numId="17" w16cid:durableId="688916677">
    <w:abstractNumId w:val="15"/>
    <w:lvlOverride w:ilvl="0">
      <w:startOverride w:val="1"/>
    </w:lvlOverride>
  </w:num>
  <w:num w:numId="18" w16cid:durableId="707949389">
    <w:abstractNumId w:val="13"/>
  </w:num>
  <w:num w:numId="19" w16cid:durableId="2069913921">
    <w:abstractNumId w:val="12"/>
  </w:num>
  <w:num w:numId="20" w16cid:durableId="1401630991">
    <w:abstractNumId w:val="15"/>
  </w:num>
  <w:num w:numId="21" w16cid:durableId="3930435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5F92"/>
    <w:rsid w:val="00021C86"/>
    <w:rsid w:val="0003395A"/>
    <w:rsid w:val="000408BA"/>
    <w:rsid w:val="00041661"/>
    <w:rsid w:val="00052ACA"/>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0247"/>
    <w:rsid w:val="00101212"/>
    <w:rsid w:val="00101D5F"/>
    <w:rsid w:val="00103124"/>
    <w:rsid w:val="00105754"/>
    <w:rsid w:val="0012701C"/>
    <w:rsid w:val="00130EB9"/>
    <w:rsid w:val="0014379C"/>
    <w:rsid w:val="00153ED1"/>
    <w:rsid w:val="00163DB3"/>
    <w:rsid w:val="001711D3"/>
    <w:rsid w:val="00185453"/>
    <w:rsid w:val="00185E8E"/>
    <w:rsid w:val="001863C2"/>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B783E"/>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63077"/>
    <w:rsid w:val="003764F0"/>
    <w:rsid w:val="00380928"/>
    <w:rsid w:val="00386B78"/>
    <w:rsid w:val="003A1EBF"/>
    <w:rsid w:val="003A3D7D"/>
    <w:rsid w:val="003B261A"/>
    <w:rsid w:val="003C0213"/>
    <w:rsid w:val="003C0267"/>
    <w:rsid w:val="003C3840"/>
    <w:rsid w:val="003D56E3"/>
    <w:rsid w:val="003E59BF"/>
    <w:rsid w:val="003E67E5"/>
    <w:rsid w:val="003F1C24"/>
    <w:rsid w:val="003F270D"/>
    <w:rsid w:val="003F547E"/>
    <w:rsid w:val="003F57CE"/>
    <w:rsid w:val="003F6B05"/>
    <w:rsid w:val="00401998"/>
    <w:rsid w:val="00410DA1"/>
    <w:rsid w:val="00427966"/>
    <w:rsid w:val="0044313F"/>
    <w:rsid w:val="00445D10"/>
    <w:rsid w:val="00446B25"/>
    <w:rsid w:val="004475F9"/>
    <w:rsid w:val="0045022C"/>
    <w:rsid w:val="00451986"/>
    <w:rsid w:val="00462051"/>
    <w:rsid w:val="0046574E"/>
    <w:rsid w:val="00465900"/>
    <w:rsid w:val="004722C6"/>
    <w:rsid w:val="00473145"/>
    <w:rsid w:val="004A02CE"/>
    <w:rsid w:val="004A168F"/>
    <w:rsid w:val="004A31AA"/>
    <w:rsid w:val="004B5A22"/>
    <w:rsid w:val="004D0B29"/>
    <w:rsid w:val="004D0F3D"/>
    <w:rsid w:val="004E1F21"/>
    <w:rsid w:val="004E7948"/>
    <w:rsid w:val="004F0578"/>
    <w:rsid w:val="004F0934"/>
    <w:rsid w:val="004F61D5"/>
    <w:rsid w:val="0050171A"/>
    <w:rsid w:val="0052302E"/>
    <w:rsid w:val="005246BE"/>
    <w:rsid w:val="00526D88"/>
    <w:rsid w:val="005336B0"/>
    <w:rsid w:val="005411C7"/>
    <w:rsid w:val="00554893"/>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259C"/>
    <w:rsid w:val="005A7F37"/>
    <w:rsid w:val="005B4CAC"/>
    <w:rsid w:val="005B602E"/>
    <w:rsid w:val="005C05BA"/>
    <w:rsid w:val="005C4C5F"/>
    <w:rsid w:val="005D06FE"/>
    <w:rsid w:val="005D5FF0"/>
    <w:rsid w:val="005E1210"/>
    <w:rsid w:val="005E3784"/>
    <w:rsid w:val="005E46E4"/>
    <w:rsid w:val="005F05DB"/>
    <w:rsid w:val="005F2E6B"/>
    <w:rsid w:val="00601030"/>
    <w:rsid w:val="006043A9"/>
    <w:rsid w:val="00610B1B"/>
    <w:rsid w:val="00610F9A"/>
    <w:rsid w:val="00621842"/>
    <w:rsid w:val="006316E5"/>
    <w:rsid w:val="00631A43"/>
    <w:rsid w:val="0063312E"/>
    <w:rsid w:val="00633B0A"/>
    <w:rsid w:val="006643DC"/>
    <w:rsid w:val="00694551"/>
    <w:rsid w:val="006A02BC"/>
    <w:rsid w:val="006A7B96"/>
    <w:rsid w:val="006B20DC"/>
    <w:rsid w:val="006B55DD"/>
    <w:rsid w:val="006D4A37"/>
    <w:rsid w:val="006E2522"/>
    <w:rsid w:val="006E3DEC"/>
    <w:rsid w:val="00706604"/>
    <w:rsid w:val="007118C4"/>
    <w:rsid w:val="00723131"/>
    <w:rsid w:val="00723DE0"/>
    <w:rsid w:val="0072573F"/>
    <w:rsid w:val="00732595"/>
    <w:rsid w:val="0074349F"/>
    <w:rsid w:val="0075466C"/>
    <w:rsid w:val="00760C8A"/>
    <w:rsid w:val="007672BC"/>
    <w:rsid w:val="00774921"/>
    <w:rsid w:val="007800DA"/>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7F78D2"/>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D57E2"/>
    <w:rsid w:val="008F5C90"/>
    <w:rsid w:val="00906C6A"/>
    <w:rsid w:val="00914273"/>
    <w:rsid w:val="00916A80"/>
    <w:rsid w:val="009279BF"/>
    <w:rsid w:val="00937D26"/>
    <w:rsid w:val="00951C86"/>
    <w:rsid w:val="009532B1"/>
    <w:rsid w:val="00956D7A"/>
    <w:rsid w:val="00965199"/>
    <w:rsid w:val="00966046"/>
    <w:rsid w:val="00971A0F"/>
    <w:rsid w:val="009770EE"/>
    <w:rsid w:val="009C1445"/>
    <w:rsid w:val="009E2C3F"/>
    <w:rsid w:val="00A10221"/>
    <w:rsid w:val="00A21B8D"/>
    <w:rsid w:val="00A22F1A"/>
    <w:rsid w:val="00A25B84"/>
    <w:rsid w:val="00A32450"/>
    <w:rsid w:val="00A46877"/>
    <w:rsid w:val="00A47C6F"/>
    <w:rsid w:val="00A5492F"/>
    <w:rsid w:val="00A60DC3"/>
    <w:rsid w:val="00A60E56"/>
    <w:rsid w:val="00A91F56"/>
    <w:rsid w:val="00AA5E76"/>
    <w:rsid w:val="00AA6FCE"/>
    <w:rsid w:val="00AC57CF"/>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0438"/>
    <w:rsid w:val="00B65C66"/>
    <w:rsid w:val="00B70B84"/>
    <w:rsid w:val="00B74C6C"/>
    <w:rsid w:val="00B8336E"/>
    <w:rsid w:val="00B865DB"/>
    <w:rsid w:val="00B921E0"/>
    <w:rsid w:val="00BA1600"/>
    <w:rsid w:val="00BA611B"/>
    <w:rsid w:val="00BB7F97"/>
    <w:rsid w:val="00BC4D68"/>
    <w:rsid w:val="00BD6786"/>
    <w:rsid w:val="00BE285B"/>
    <w:rsid w:val="00C06496"/>
    <w:rsid w:val="00C122AE"/>
    <w:rsid w:val="00C17665"/>
    <w:rsid w:val="00C32DF8"/>
    <w:rsid w:val="00C40729"/>
    <w:rsid w:val="00C41DDB"/>
    <w:rsid w:val="00C46C5A"/>
    <w:rsid w:val="00C51247"/>
    <w:rsid w:val="00C52ABE"/>
    <w:rsid w:val="00C656B1"/>
    <w:rsid w:val="00C7056E"/>
    <w:rsid w:val="00CB683A"/>
    <w:rsid w:val="00CB7C2C"/>
    <w:rsid w:val="00CC062F"/>
    <w:rsid w:val="00CC1768"/>
    <w:rsid w:val="00CC43D2"/>
    <w:rsid w:val="00CC68E1"/>
    <w:rsid w:val="00CD0745"/>
    <w:rsid w:val="00CD363B"/>
    <w:rsid w:val="00CD3C90"/>
    <w:rsid w:val="00CD59B1"/>
    <w:rsid w:val="00CE70D8"/>
    <w:rsid w:val="00CF098A"/>
    <w:rsid w:val="00CF3041"/>
    <w:rsid w:val="00D123C1"/>
    <w:rsid w:val="00D234FD"/>
    <w:rsid w:val="00D2600B"/>
    <w:rsid w:val="00D5061B"/>
    <w:rsid w:val="00D51B61"/>
    <w:rsid w:val="00D56571"/>
    <w:rsid w:val="00D67DE0"/>
    <w:rsid w:val="00D73E09"/>
    <w:rsid w:val="00D74F66"/>
    <w:rsid w:val="00D82FBD"/>
    <w:rsid w:val="00D854DA"/>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142"/>
    <w:rsid w:val="00EB589C"/>
    <w:rsid w:val="00EB6791"/>
    <w:rsid w:val="00EC2454"/>
    <w:rsid w:val="00EC35A4"/>
    <w:rsid w:val="00EC4454"/>
    <w:rsid w:val="00EC5BEA"/>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236C"/>
    <w:rsid w:val="00F74EB6"/>
    <w:rsid w:val="00F8432C"/>
    <w:rsid w:val="00F8514A"/>
    <w:rsid w:val="00F91D83"/>
    <w:rsid w:val="00F91F93"/>
    <w:rsid w:val="00F9221D"/>
    <w:rsid w:val="00F93A64"/>
    <w:rsid w:val="00F94A2A"/>
    <w:rsid w:val="00FA112C"/>
    <w:rsid w:val="00FB56E2"/>
    <w:rsid w:val="00FC3FE9"/>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971A0F"/>
    <w:pPr>
      <w:spacing w:before="0"/>
      <w:ind w:left="720"/>
      <w:contextualSpacing/>
      <w:jc w:val="both"/>
    </w:pPr>
    <w:rPr>
      <w:rFonts w:eastAsia="Times New Roman"/>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1147">
      <w:bodyDiv w:val="1"/>
      <w:marLeft w:val="0"/>
      <w:marRight w:val="0"/>
      <w:marTop w:val="0"/>
      <w:marBottom w:val="0"/>
      <w:divBdr>
        <w:top w:val="none" w:sz="0" w:space="0" w:color="auto"/>
        <w:left w:val="none" w:sz="0" w:space="0" w:color="auto"/>
        <w:bottom w:val="none" w:sz="0" w:space="0" w:color="auto"/>
        <w:right w:val="none" w:sz="0" w:space="0" w:color="auto"/>
      </w:divBdr>
    </w:div>
    <w:div w:id="736125417">
      <w:bodyDiv w:val="1"/>
      <w:marLeft w:val="0"/>
      <w:marRight w:val="0"/>
      <w:marTop w:val="0"/>
      <w:marBottom w:val="0"/>
      <w:divBdr>
        <w:top w:val="none" w:sz="0" w:space="0" w:color="auto"/>
        <w:left w:val="none" w:sz="0" w:space="0" w:color="auto"/>
        <w:bottom w:val="none" w:sz="0" w:space="0" w:color="auto"/>
        <w:right w:val="none" w:sz="0" w:space="0" w:color="auto"/>
      </w:divBdr>
    </w:div>
    <w:div w:id="868030115">
      <w:bodyDiv w:val="1"/>
      <w:marLeft w:val="0"/>
      <w:marRight w:val="0"/>
      <w:marTop w:val="0"/>
      <w:marBottom w:val="0"/>
      <w:divBdr>
        <w:top w:val="none" w:sz="0" w:space="0" w:color="auto"/>
        <w:left w:val="none" w:sz="0" w:space="0" w:color="auto"/>
        <w:bottom w:val="none" w:sz="0" w:space="0" w:color="auto"/>
        <w:right w:val="none" w:sz="0" w:space="0" w:color="auto"/>
      </w:divBdr>
    </w:div>
    <w:div w:id="16582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2s-fam@bundesbank.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kristin.gonska@bundesbank.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n-kristin.gonska@bundesbank.de" TargetMode="External"/><Relationship Id="rId23" Type="http://schemas.openxmlformats.org/officeDocument/2006/relationships/footer" Target="footer3.xml"/><Relationship Id="rId10" Type="http://schemas.openxmlformats.org/officeDocument/2006/relationships/hyperlink" Target="mailto:stephanie.radet@bundesbank.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B355-D237-4768-9B1A-BE185609990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1388</Words>
  <Characters>8192</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CHANGE REQUEST</vt:lpstr>
      <vt:lpstr>CHANGE REQUEST</vt:lpstr>
    </vt:vector>
  </TitlesOfParts>
  <Company>S.W.I.F.T. sc</Company>
  <LinksUpToDate>false</LinksUpToDate>
  <CharactersWithSpaces>9561</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2024-07-05T14:14:00Z</dcterms:created>
  <dcterms:modified xsi:type="dcterms:W3CDTF">2024-07-05T14:16:00Z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