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77777777" w:rsidR="000408BA" w:rsidRDefault="008438AF" w:rsidP="008438AF">
      <w:pPr>
        <w:rPr>
          <w:szCs w:val="24"/>
          <w:lang w:val="en-GB"/>
        </w:rPr>
      </w:pPr>
      <w:r w:rsidRPr="008438AF">
        <w:rPr>
          <w:i/>
          <w:szCs w:val="24"/>
          <w:lang w:val="en-GB"/>
        </w:rPr>
        <w:t>A.1 Submitter</w:t>
      </w:r>
      <w:r>
        <w:rPr>
          <w:szCs w:val="24"/>
          <w:lang w:val="en-GB"/>
        </w:rPr>
        <w:t xml:space="preserve">: identity of the company, organization, group, </w:t>
      </w:r>
      <w:proofErr w:type="gramStart"/>
      <w:r>
        <w:rPr>
          <w:szCs w:val="24"/>
          <w:lang w:val="en-GB"/>
        </w:rPr>
        <w:t>initiative</w:t>
      </w:r>
      <w:proofErr w:type="gramEnd"/>
      <w:r>
        <w:rPr>
          <w:szCs w:val="24"/>
          <w:lang w:val="en-GB"/>
        </w:rPr>
        <w:t xml:space="preserve"> or community that submits the change request. </w:t>
      </w:r>
    </w:p>
    <w:p w14:paraId="622AD1E8" w14:textId="6D371141" w:rsidR="001653F7" w:rsidRPr="005A410C" w:rsidRDefault="001653F7" w:rsidP="008438AF">
      <w:pPr>
        <w:rPr>
          <w:color w:val="0070C0"/>
          <w:szCs w:val="24"/>
          <w:lang w:val="en-GB"/>
        </w:rPr>
      </w:pPr>
      <w:r w:rsidRPr="005A410C">
        <w:rPr>
          <w:color w:val="0070C0"/>
          <w:szCs w:val="24"/>
          <w:lang w:val="en-GB"/>
        </w:rPr>
        <w:t>Bank of England</w:t>
      </w:r>
    </w:p>
    <w:p w14:paraId="3872C480" w14:textId="7777777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person(s) who can be contacted to get additional information on the request (name, e-mail, telephone)</w:t>
      </w:r>
    </w:p>
    <w:p w14:paraId="14B1A6AF" w14:textId="2A94F228" w:rsidR="001653F7" w:rsidRPr="005A410C" w:rsidRDefault="001653F7" w:rsidP="008438AF">
      <w:pPr>
        <w:rPr>
          <w:color w:val="0070C0"/>
          <w:szCs w:val="24"/>
          <w:lang w:val="en-GB"/>
        </w:rPr>
      </w:pPr>
      <w:r w:rsidRPr="005A410C">
        <w:rPr>
          <w:color w:val="0070C0"/>
          <w:szCs w:val="24"/>
          <w:lang w:val="en-GB"/>
        </w:rPr>
        <w:t xml:space="preserve">John Aveson </w:t>
      </w:r>
      <w:hyperlink r:id="rId10" w:history="1">
        <w:r w:rsidRPr="005A410C">
          <w:rPr>
            <w:rStyle w:val="Hyperlink"/>
            <w:color w:val="0070C0"/>
            <w:szCs w:val="24"/>
            <w:lang w:val="en-GB"/>
          </w:rPr>
          <w:t>john.aveson@bankofengland.co.uk</w:t>
        </w:r>
      </w:hyperlink>
    </w:p>
    <w:p w14:paraId="25E92BB5" w14:textId="77777777"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E74C04">
        <w:rPr>
          <w:szCs w:val="24"/>
          <w:lang w:val="en-GB"/>
        </w:rPr>
        <w:t>i</w:t>
      </w:r>
      <w:r w:rsidR="00E74C04" w:rsidRPr="00D84F87">
        <w:rPr>
          <w:szCs w:val="24"/>
          <w:lang w:val="en-GB"/>
        </w:rPr>
        <w:t xml:space="preserve">t is highly recommended that a submitter of a Change Request gain the agreement and support from as many additional organisations, groups, </w:t>
      </w:r>
      <w:proofErr w:type="gramStart"/>
      <w:r w:rsidR="00E74C04" w:rsidRPr="00D84F87">
        <w:rPr>
          <w:szCs w:val="24"/>
          <w:lang w:val="en-GB"/>
        </w:rPr>
        <w:t>initiatives</w:t>
      </w:r>
      <w:proofErr w:type="gramEnd"/>
      <w:r w:rsidR="00E74C04" w:rsidRPr="00D84F87">
        <w:rPr>
          <w:szCs w:val="24"/>
          <w:lang w:val="en-GB"/>
        </w:rPr>
        <w:t xml:space="preserve"> or communities of users as possible, thus demonstrating as wide as possible a consultation of the relevant stakeholders. All organisations, groups, </w:t>
      </w:r>
      <w:proofErr w:type="gramStart"/>
      <w:r w:rsidR="00E74C04" w:rsidRPr="00D84F87">
        <w:rPr>
          <w:szCs w:val="24"/>
          <w:lang w:val="en-GB"/>
        </w:rPr>
        <w:t>initiatives</w:t>
      </w:r>
      <w:proofErr w:type="gramEnd"/>
      <w:r w:rsidR="00E74C04" w:rsidRPr="00D84F87">
        <w:rPr>
          <w:szCs w:val="24"/>
          <w:lang w:val="en-GB"/>
        </w:rPr>
        <w:t xml:space="preserve"> or communities supporting the change request should be identified as sponsors along with a contact person, if possible. This community involvement is intended to help avoid delays and/or subsequent amendments to the </w:t>
      </w:r>
      <w:r w:rsidR="00E74C04">
        <w:rPr>
          <w:szCs w:val="24"/>
          <w:lang w:val="en-GB"/>
        </w:rPr>
        <w:t>c</w:t>
      </w:r>
      <w:r w:rsidR="00E74C04" w:rsidRPr="00D84F87">
        <w:rPr>
          <w:szCs w:val="24"/>
          <w:lang w:val="en-GB"/>
        </w:rPr>
        <w:t xml:space="preserve">hange </w:t>
      </w:r>
      <w:r w:rsidR="00E74C04">
        <w:rPr>
          <w:szCs w:val="24"/>
          <w:lang w:val="en-GB"/>
        </w:rPr>
        <w:t>r</w:t>
      </w:r>
      <w:r w:rsidR="00E74C04" w:rsidRPr="00D84F87">
        <w:rPr>
          <w:szCs w:val="24"/>
          <w:lang w:val="en-GB"/>
        </w:rPr>
        <w:t>equest.</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625A5474" w14:textId="77777777" w:rsidR="00854FA6" w:rsidRPr="00D123C1" w:rsidRDefault="00854FA6" w:rsidP="00854FA6">
      <w:pPr>
        <w:rPr>
          <w:szCs w:val="24"/>
          <w:lang w:val="en-GB"/>
        </w:rPr>
      </w:pPr>
      <w:r>
        <w:rPr>
          <w:lang w:val="en-GB"/>
        </w:rPr>
        <w:t xml:space="preserve">The list of ISO 20022 messages which would be impacted by the change, including the Message IDs as shown in the </w:t>
      </w:r>
      <w:hyperlink r:id="rId11" w:history="1">
        <w:r w:rsidRPr="00854FA6">
          <w:rPr>
            <w:rStyle w:val="Hyperlink"/>
            <w:lang w:val="en-GB"/>
          </w:rPr>
          <w:t xml:space="preserve">Catalogue of ISO 20022 </w:t>
        </w:r>
        <w:r>
          <w:rPr>
            <w:rStyle w:val="Hyperlink"/>
            <w:lang w:val="en-GB"/>
          </w:rPr>
          <w:t>m</w:t>
        </w:r>
        <w:r w:rsidRPr="00854FA6">
          <w:rPr>
            <w:rStyle w:val="Hyperlink"/>
            <w:lang w:val="en-GB"/>
          </w:rPr>
          <w:t>essages</w:t>
        </w:r>
      </w:hyperlink>
      <w:r>
        <w:rPr>
          <w:lang w:val="en-GB"/>
        </w:rPr>
        <w:t>.</w:t>
      </w:r>
      <w:r w:rsidR="006E2522">
        <w:rPr>
          <w:lang w:val="en-GB"/>
        </w:rPr>
        <w:t xml:space="preserve"> Only the latest version of a message definition can be maintained.</w:t>
      </w:r>
    </w:p>
    <w:p w14:paraId="3E66D45C" w14:textId="4E0EA3FD" w:rsidR="00854FA6" w:rsidRDefault="00854FA6" w:rsidP="00854FA6">
      <w:pPr>
        <w:rPr>
          <w:szCs w:val="24"/>
          <w:lang w:val="en-GB"/>
        </w:rPr>
      </w:pPr>
      <w:r>
        <w:rPr>
          <w:szCs w:val="24"/>
          <w:lang w:val="en-GB"/>
        </w:rPr>
        <w:t>The submitter is invited to carefully examine whether the change may have an impact on other messages that come into play earlier or later in the transaction chain or on other messages that also use message components that this change request may impact.</w:t>
      </w:r>
    </w:p>
    <w:p w14:paraId="43B27537" w14:textId="77777777" w:rsidR="005A410C" w:rsidRPr="005A410C" w:rsidRDefault="005A410C" w:rsidP="005A410C">
      <w:pPr>
        <w:rPr>
          <w:bCs/>
          <w:color w:val="0070C0"/>
          <w:lang w:val="en-GB"/>
        </w:rPr>
      </w:pPr>
      <w:r w:rsidRPr="005A410C">
        <w:rPr>
          <w:bCs/>
          <w:color w:val="0070C0"/>
          <w:lang w:val="en-GB"/>
        </w:rPr>
        <w:t>auth.059.001.01</w:t>
      </w:r>
    </w:p>
    <w:p w14:paraId="3DF38BC3" w14:textId="3047A1E3" w:rsidR="005A410C" w:rsidRDefault="005A410C" w:rsidP="005A410C">
      <w:pPr>
        <w:rPr>
          <w:bCs/>
          <w:color w:val="0070C0"/>
          <w:lang w:val="en-GB"/>
        </w:rPr>
      </w:pPr>
      <w:r w:rsidRPr="005A410C">
        <w:rPr>
          <w:bCs/>
          <w:color w:val="0070C0"/>
          <w:lang w:val="en-GB"/>
        </w:rPr>
        <w:t>CCPIncomeStatementAndCapitalAdequacyReportV01</w:t>
      </w:r>
    </w:p>
    <w:p w14:paraId="7A3CE6F9" w14:textId="77777777" w:rsidR="003042B8" w:rsidRDefault="003042B8" w:rsidP="005A410C">
      <w:pPr>
        <w:rPr>
          <w:bCs/>
          <w:color w:val="0070C0"/>
          <w:lang w:val="en-GB"/>
        </w:rPr>
      </w:pPr>
    </w:p>
    <w:p w14:paraId="7DAF6DEE" w14:textId="4A05DC5A" w:rsidR="003042B8" w:rsidRDefault="003042B8" w:rsidP="005A410C">
      <w:pPr>
        <w:rPr>
          <w:bCs/>
          <w:color w:val="0070C0"/>
          <w:lang w:val="en-GB"/>
        </w:rPr>
      </w:pPr>
      <w:r>
        <w:rPr>
          <w:bCs/>
          <w:color w:val="0070C0"/>
          <w:lang w:val="en-GB"/>
        </w:rPr>
        <w:t>auth.054.001.01</w:t>
      </w:r>
    </w:p>
    <w:p w14:paraId="74A15ABD" w14:textId="0950316B" w:rsidR="003042B8" w:rsidRPr="005A410C" w:rsidRDefault="003042B8" w:rsidP="00D178A5">
      <w:pPr>
        <w:tabs>
          <w:tab w:val="left" w:pos="6420"/>
        </w:tabs>
        <w:rPr>
          <w:bCs/>
          <w:color w:val="0070C0"/>
          <w:lang w:val="en-GB"/>
        </w:rPr>
      </w:pPr>
      <w:r>
        <w:rPr>
          <w:bCs/>
          <w:color w:val="0070C0"/>
          <w:lang w:val="en-GB"/>
        </w:rPr>
        <w:t>CCPClearingMemberReportV01</w:t>
      </w:r>
      <w:r w:rsidR="00D178A5">
        <w:rPr>
          <w:bCs/>
          <w:color w:val="0070C0"/>
          <w:lang w:val="en-GB"/>
        </w:rPr>
        <w:tab/>
      </w:r>
    </w:p>
    <w:p w14:paraId="09EDAEAF" w14:textId="77777777" w:rsidR="00854FA6" w:rsidRDefault="006D4A37" w:rsidP="00854FA6">
      <w:pPr>
        <w:numPr>
          <w:ilvl w:val="0"/>
          <w:numId w:val="6"/>
        </w:numPr>
        <w:rPr>
          <w:lang w:val="en-GB"/>
        </w:rPr>
      </w:pPr>
      <w:r>
        <w:rPr>
          <w:b/>
          <w:lang w:val="en-GB"/>
        </w:rPr>
        <w:t>Description of the change request:</w:t>
      </w:r>
    </w:p>
    <w:p w14:paraId="7E531A34" w14:textId="77777777" w:rsidR="00AA5E76" w:rsidRDefault="006D4A37" w:rsidP="00AA5E76">
      <w:pPr>
        <w:rPr>
          <w:lang w:val="en-GB"/>
        </w:rPr>
      </w:pPr>
      <w:r w:rsidRPr="00AA5E76">
        <w:rPr>
          <w:lang w:val="en-GB"/>
        </w:rPr>
        <w:lastRenderedPageBreak/>
        <w:t xml:space="preserve">A </w:t>
      </w:r>
      <w:r w:rsidR="00AA5E76">
        <w:rPr>
          <w:lang w:val="en-GB"/>
        </w:rPr>
        <w:t xml:space="preserve">specific </w:t>
      </w:r>
      <w:r w:rsidRPr="00AA5E76">
        <w:rPr>
          <w:lang w:val="en-GB"/>
        </w:rPr>
        <w:t xml:space="preserve">change request form must be completed for each </w:t>
      </w:r>
      <w:proofErr w:type="gramStart"/>
      <w:r w:rsidRPr="00AA5E76">
        <w:rPr>
          <w:lang w:val="en-GB"/>
        </w:rPr>
        <w:t>particular change</w:t>
      </w:r>
      <w:proofErr w:type="gramEnd"/>
      <w:r w:rsidRPr="00AA5E76">
        <w:rPr>
          <w:lang w:val="en-GB"/>
        </w:rPr>
        <w:t xml:space="preserve"> requested</w:t>
      </w:r>
      <w:r w:rsidR="00AA5E76" w:rsidRPr="00AA5E76">
        <w:rPr>
          <w:lang w:val="en-GB"/>
        </w:rPr>
        <w:t xml:space="preserve"> (</w:t>
      </w:r>
      <w:r w:rsidR="000408BA">
        <w:rPr>
          <w:lang w:val="en-GB"/>
        </w:rPr>
        <w:t>f</w:t>
      </w:r>
      <w:r w:rsidR="00AA5E76">
        <w:rPr>
          <w:lang w:val="en-GB"/>
        </w:rPr>
        <w:t xml:space="preserve">or example, adding, deleting, modifying, renaming, changing the cardinality, moving an element/component, or changing the type of an element, changing a code </w:t>
      </w:r>
      <w:r w:rsidR="00EE43B0">
        <w:rPr>
          <w:lang w:val="en-GB"/>
        </w:rPr>
        <w:t>set</w:t>
      </w:r>
      <w:r w:rsidR="00AA5E76">
        <w:rPr>
          <w:lang w:val="en-GB"/>
        </w:rPr>
        <w:t>)</w:t>
      </w:r>
      <w:r w:rsidR="00706604">
        <w:rPr>
          <w:lang w:val="en-GB"/>
        </w:rPr>
        <w:t>.</w:t>
      </w:r>
    </w:p>
    <w:p w14:paraId="55214AA7" w14:textId="77777777" w:rsidR="000408BA" w:rsidRDefault="006D4A37" w:rsidP="000408BA">
      <w:pPr>
        <w:rPr>
          <w:lang w:val="en-GB"/>
        </w:rPr>
      </w:pPr>
      <w:r w:rsidRPr="00AA5E76">
        <w:rPr>
          <w:lang w:val="en-GB"/>
        </w:rPr>
        <w:t>If the change request</w:t>
      </w:r>
      <w:r w:rsidR="00AA5E76">
        <w:rPr>
          <w:lang w:val="en-GB"/>
        </w:rPr>
        <w:t xml:space="preserve"> consists, for example, </w:t>
      </w:r>
      <w:r w:rsidR="00CC68E1">
        <w:rPr>
          <w:lang w:val="en-GB"/>
        </w:rPr>
        <w:t>of</w:t>
      </w:r>
      <w:r w:rsidR="00AA5E76">
        <w:rPr>
          <w:lang w:val="en-GB"/>
        </w:rPr>
        <w:t xml:space="preserve"> adding new functionality which requires several changes </w:t>
      </w:r>
      <w:r w:rsidR="000408BA">
        <w:rPr>
          <w:lang w:val="en-GB"/>
        </w:rPr>
        <w:t>which would not make sense</w:t>
      </w:r>
      <w:r w:rsidR="00AA5E76">
        <w:rPr>
          <w:lang w:val="en-GB"/>
        </w:rPr>
        <w:t xml:space="preserve"> if not performed all together, then all these related changes </w:t>
      </w:r>
      <w:r w:rsidR="000408BA">
        <w:rPr>
          <w:lang w:val="en-GB"/>
        </w:rPr>
        <w:t xml:space="preserve">should be </w:t>
      </w:r>
      <w:r w:rsidR="00AA5E76">
        <w:rPr>
          <w:lang w:val="en-GB"/>
        </w:rPr>
        <w:t xml:space="preserve">described on the same form.  </w:t>
      </w:r>
      <w:r w:rsidRPr="00AA5E76">
        <w:rPr>
          <w:lang w:val="en-GB"/>
        </w:rPr>
        <w:t xml:space="preserve">  </w:t>
      </w:r>
    </w:p>
    <w:p w14:paraId="3183B4F6" w14:textId="77777777" w:rsidR="005A410C" w:rsidRDefault="000408BA" w:rsidP="000408BA">
      <w:r>
        <w:t>Change requests may not lead to creation of new messages. In such cases, a 'business justification' for development of new candidate ISO 20022 messages must be introduced by a submitting organization that is ready to develop the new messages.</w:t>
      </w:r>
    </w:p>
    <w:p w14:paraId="7939DBFB" w14:textId="2B5D95FF" w:rsidR="000408BA" w:rsidRDefault="005A410C" w:rsidP="000408BA">
      <w:pPr>
        <w:rPr>
          <w:bCs/>
          <w:color w:val="0070C0"/>
          <w:lang w:val="en-GB"/>
        </w:rPr>
      </w:pPr>
      <w:r w:rsidRPr="005A410C">
        <w:rPr>
          <w:bCs/>
          <w:color w:val="0070C0"/>
          <w:lang w:val="en-GB"/>
        </w:rPr>
        <w:t>The proposed change</w:t>
      </w:r>
      <w:r w:rsidR="000408BA" w:rsidRPr="005A410C">
        <w:rPr>
          <w:bCs/>
          <w:color w:val="0070C0"/>
          <w:lang w:val="en-GB"/>
        </w:rPr>
        <w:t xml:space="preserve"> </w:t>
      </w:r>
      <w:r>
        <w:rPr>
          <w:bCs/>
          <w:color w:val="0070C0"/>
          <w:lang w:val="en-GB"/>
        </w:rPr>
        <w:t xml:space="preserve">looks at the IncomeStatement1 complex type. The intent is to add a clearing member id to break down the </w:t>
      </w:r>
      <w:proofErr w:type="spellStart"/>
      <w:r>
        <w:rPr>
          <w:bCs/>
          <w:color w:val="0070C0"/>
          <w:lang w:val="en-GB"/>
        </w:rPr>
        <w:t>ClrFees</w:t>
      </w:r>
      <w:proofErr w:type="spellEnd"/>
      <w:r>
        <w:rPr>
          <w:bCs/>
          <w:color w:val="0070C0"/>
          <w:lang w:val="en-GB"/>
        </w:rPr>
        <w:t xml:space="preserve"> by </w:t>
      </w:r>
      <w:r w:rsidR="003042B8">
        <w:rPr>
          <w:bCs/>
          <w:color w:val="0070C0"/>
          <w:lang w:val="en-GB"/>
        </w:rPr>
        <w:t>the clearing member from whom the fee income is being received.</w:t>
      </w:r>
    </w:p>
    <w:p w14:paraId="5E64940D" w14:textId="36661F04" w:rsidR="003042B8" w:rsidRPr="005A410C" w:rsidRDefault="003042B8" w:rsidP="000408BA">
      <w:pPr>
        <w:rPr>
          <w:bCs/>
          <w:color w:val="0070C0"/>
          <w:lang w:val="en-GB"/>
        </w:rPr>
      </w:pPr>
      <w:r>
        <w:rPr>
          <w:bCs/>
          <w:color w:val="0070C0"/>
          <w:lang w:val="en-GB"/>
        </w:rPr>
        <w:t xml:space="preserve">The proposal would be to add a new type of ‘Clearing Fee’ which has both </w:t>
      </w:r>
      <w:proofErr w:type="spellStart"/>
      <w:r>
        <w:rPr>
          <w:bCs/>
          <w:color w:val="0070C0"/>
          <w:lang w:val="en-GB"/>
        </w:rPr>
        <w:t>ActiveCurrencyAndAmount</w:t>
      </w:r>
      <w:proofErr w:type="spellEnd"/>
      <w:r>
        <w:rPr>
          <w:bCs/>
          <w:color w:val="0070C0"/>
          <w:lang w:val="en-GB"/>
        </w:rPr>
        <w:t xml:space="preserve"> and a clearing member id field which would have type </w:t>
      </w:r>
      <w:r w:rsidRPr="003042B8">
        <w:rPr>
          <w:bCs/>
          <w:color w:val="0070C0"/>
          <w:lang w:val="en-GB"/>
        </w:rPr>
        <w:t>PartyIdentification118Choice</w:t>
      </w:r>
      <w:r>
        <w:rPr>
          <w:bCs/>
          <w:color w:val="0070C0"/>
          <w:lang w:val="en-GB"/>
        </w:rPr>
        <w:t xml:space="preserve"> for consistency with the CCPClearingMemberReportV01.</w:t>
      </w:r>
    </w:p>
    <w:p w14:paraId="3BB91AEE"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474AE1EB" w14:textId="77777777" w:rsidR="00577861" w:rsidRDefault="00577861" w:rsidP="00577861">
      <w:pPr>
        <w:rPr>
          <w:lang w:val="en-GB"/>
        </w:rPr>
      </w:pPr>
      <w:r>
        <w:rPr>
          <w:lang w:val="en-GB"/>
        </w:rPr>
        <w:t xml:space="preserve">Background, business context, community of </w:t>
      </w:r>
      <w:r w:rsidR="006D4A37">
        <w:rPr>
          <w:lang w:val="en-GB"/>
        </w:rPr>
        <w:t>users interested by the change</w:t>
      </w:r>
      <w:r>
        <w:rPr>
          <w:lang w:val="en-GB"/>
        </w:rPr>
        <w:t xml:space="preserve"> and expected benefits</w:t>
      </w:r>
      <w:r w:rsidR="006D4A37">
        <w:rPr>
          <w:lang w:val="en-GB"/>
        </w:rPr>
        <w:t>/savings</w:t>
      </w:r>
      <w:r>
        <w:rPr>
          <w:lang w:val="en-GB"/>
        </w:rPr>
        <w:t>.</w:t>
      </w:r>
    </w:p>
    <w:p w14:paraId="1EC9DCD3" w14:textId="77777777" w:rsidR="006D4A37" w:rsidRDefault="00577861" w:rsidP="00865C2F">
      <w:r>
        <w:rPr>
          <w:szCs w:val="24"/>
          <w:lang w:val="en-GB"/>
        </w:rPr>
        <w:t>This section must explain</w:t>
      </w:r>
      <w:r w:rsidR="00320A89">
        <w:rPr>
          <w:szCs w:val="24"/>
          <w:lang w:val="en-GB"/>
        </w:rPr>
        <w:t xml:space="preserve"> why the existing </w:t>
      </w:r>
      <w:r w:rsidR="00324C6F">
        <w:rPr>
          <w:szCs w:val="24"/>
          <w:lang w:val="en-GB"/>
        </w:rPr>
        <w:t>ISO 20022</w:t>
      </w:r>
      <w:r w:rsidR="00320A89">
        <w:rPr>
          <w:szCs w:val="24"/>
          <w:lang w:val="en-GB"/>
        </w:rPr>
        <w:t xml:space="preserve"> </w:t>
      </w:r>
      <w:r w:rsidR="00937D26">
        <w:rPr>
          <w:szCs w:val="24"/>
          <w:lang w:val="en-GB"/>
        </w:rPr>
        <w:t>messages</w:t>
      </w:r>
      <w:r w:rsidR="00320A89">
        <w:rPr>
          <w:szCs w:val="24"/>
          <w:lang w:val="en-GB"/>
        </w:rPr>
        <w:t xml:space="preserve"> need to be changed. </w:t>
      </w:r>
      <w:r w:rsidR="00320A89">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t xml:space="preserve"> </w:t>
      </w:r>
    </w:p>
    <w:p w14:paraId="0D27A3CC" w14:textId="016A3329" w:rsidR="003042B8" w:rsidRPr="005A410C" w:rsidRDefault="003042B8" w:rsidP="003042B8">
      <w:pPr>
        <w:rPr>
          <w:bCs/>
          <w:color w:val="0070C0"/>
          <w:lang w:val="en-GB"/>
        </w:rPr>
      </w:pPr>
      <w:r>
        <w:rPr>
          <w:bCs/>
          <w:color w:val="0070C0"/>
          <w:lang w:val="en-GB"/>
        </w:rPr>
        <w:t>The change is motivated by a supervisory need to understand from which jurisdictions clearing fees are paid to the CCP.</w:t>
      </w:r>
    </w:p>
    <w:p w14:paraId="27AE68FC" w14:textId="77777777" w:rsidR="003042B8" w:rsidRDefault="003042B8" w:rsidP="00865C2F"/>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771FBF3" w14:textId="77777777" w:rsidR="00AA5E76" w:rsidRDefault="00AA5E76" w:rsidP="00AA5E76">
      <w:pPr>
        <w:rPr>
          <w:szCs w:val="24"/>
          <w:lang w:val="en-GB"/>
        </w:rPr>
      </w:pPr>
      <w:r>
        <w:rPr>
          <w:szCs w:val="24"/>
          <w:lang w:val="en-GB"/>
        </w:rPr>
        <w:t xml:space="preserve">By default, valid change requests introduced by </w:t>
      </w:r>
      <w:r w:rsidR="008265E8">
        <w:rPr>
          <w:szCs w:val="24"/>
          <w:lang w:val="en-GB"/>
        </w:rPr>
        <w:t>June</w:t>
      </w:r>
      <w:r w:rsidR="00706604">
        <w:rPr>
          <w:szCs w:val="24"/>
          <w:lang w:val="en-GB"/>
        </w:rPr>
        <w:t xml:space="preserve"> </w:t>
      </w:r>
      <w:r>
        <w:rPr>
          <w:szCs w:val="24"/>
          <w:lang w:val="en-GB"/>
        </w:rPr>
        <w:t xml:space="preserve">1 and </w:t>
      </w:r>
      <w:r w:rsidR="008265E8">
        <w:rPr>
          <w:szCs w:val="24"/>
          <w:lang w:val="en-GB"/>
        </w:rPr>
        <w:t xml:space="preserve">subsequently </w:t>
      </w:r>
      <w:r>
        <w:rPr>
          <w:szCs w:val="24"/>
          <w:lang w:val="en-GB"/>
        </w:rPr>
        <w:t>approved by the SEG</w:t>
      </w:r>
      <w:r w:rsidR="005A1AA5">
        <w:rPr>
          <w:szCs w:val="24"/>
          <w:lang w:val="en-GB"/>
        </w:rPr>
        <w:t>/TSG</w:t>
      </w:r>
      <w:r>
        <w:rPr>
          <w:szCs w:val="24"/>
          <w:lang w:val="en-GB"/>
        </w:rPr>
        <w:t xml:space="preserve"> will be included in the following yearly maintenance cycle</w:t>
      </w:r>
      <w:r w:rsidR="00F34C66">
        <w:rPr>
          <w:szCs w:val="24"/>
          <w:lang w:val="en-GB"/>
        </w:rPr>
        <w:t xml:space="preserve"> which completes with the publication of new message versions </w:t>
      </w:r>
      <w:r w:rsidR="005A1AA5">
        <w:rPr>
          <w:szCs w:val="24"/>
          <w:lang w:val="en-GB"/>
        </w:rPr>
        <w:t>by</w:t>
      </w:r>
      <w:r w:rsidR="00F34C66">
        <w:rPr>
          <w:szCs w:val="24"/>
          <w:lang w:val="en-GB"/>
        </w:rPr>
        <w:t xml:space="preserve"> </w:t>
      </w:r>
      <w:r w:rsidR="008265E8">
        <w:rPr>
          <w:szCs w:val="24"/>
          <w:lang w:val="en-GB"/>
        </w:rPr>
        <w:t>April</w:t>
      </w:r>
      <w:r w:rsidR="00594A5F">
        <w:rPr>
          <w:szCs w:val="24"/>
          <w:lang w:val="en-GB"/>
        </w:rPr>
        <w:t>/</w:t>
      </w:r>
      <w:r w:rsidR="008265E8">
        <w:rPr>
          <w:szCs w:val="24"/>
          <w:lang w:val="en-GB"/>
        </w:rPr>
        <w:t xml:space="preserve">May of </w:t>
      </w:r>
      <w:r w:rsidR="00F34C66">
        <w:rPr>
          <w:szCs w:val="24"/>
          <w:lang w:val="en-GB"/>
        </w:rPr>
        <w:t>the following year</w:t>
      </w:r>
      <w:r w:rsidR="003F1C24">
        <w:rPr>
          <w:szCs w:val="24"/>
          <w:lang w:val="en-GB"/>
        </w:rPr>
        <w:t>,</w:t>
      </w:r>
      <w:r>
        <w:rPr>
          <w:szCs w:val="24"/>
          <w:lang w:val="en-GB"/>
        </w:rPr>
        <w:t xml:space="preserve"> </w:t>
      </w:r>
      <w:r w:rsidR="00F34C66">
        <w:rPr>
          <w:szCs w:val="24"/>
          <w:lang w:val="en-GB"/>
        </w:rPr>
        <w:t>unless decided otherwise by the SEG</w:t>
      </w:r>
      <w:r w:rsidR="005A1AA5">
        <w:rPr>
          <w:szCs w:val="24"/>
          <w:lang w:val="en-GB"/>
        </w:rPr>
        <w:t>/TSG</w:t>
      </w:r>
      <w:r w:rsidR="00F34C66">
        <w:rPr>
          <w:szCs w:val="24"/>
          <w:lang w:val="en-GB"/>
        </w:rPr>
        <w:t>.</w:t>
      </w:r>
    </w:p>
    <w:p w14:paraId="1ADB8A32" w14:textId="77777777" w:rsidR="00F34C66" w:rsidRDefault="00CF098A" w:rsidP="00F34C66">
      <w:pPr>
        <w:rPr>
          <w:szCs w:val="24"/>
          <w:lang w:val="en-GB"/>
        </w:rPr>
      </w:pPr>
      <w:r>
        <w:rPr>
          <w:szCs w:val="24"/>
          <w:lang w:val="en-GB"/>
        </w:rPr>
        <w:t xml:space="preserve">If </w:t>
      </w:r>
      <w:r w:rsidR="00F34C66">
        <w:rPr>
          <w:szCs w:val="24"/>
          <w:lang w:val="en-GB"/>
        </w:rPr>
        <w:t xml:space="preserve">there is a need to have the new version of the related messages published earlier, </w:t>
      </w:r>
      <w:r w:rsidR="00BB7F97">
        <w:rPr>
          <w:szCs w:val="24"/>
          <w:lang w:val="en-GB"/>
        </w:rPr>
        <w:t xml:space="preserve">the </w:t>
      </w:r>
      <w:r w:rsidR="00DD422D">
        <w:rPr>
          <w:szCs w:val="24"/>
          <w:lang w:val="en-GB"/>
        </w:rPr>
        <w:t xml:space="preserve">reason for the </w:t>
      </w:r>
      <w:r w:rsidR="00BB7F97">
        <w:rPr>
          <w:szCs w:val="24"/>
          <w:lang w:val="en-GB"/>
        </w:rPr>
        <w:t>urgency of the maintenance</w:t>
      </w:r>
      <w:r w:rsidR="00783891">
        <w:rPr>
          <w:szCs w:val="24"/>
          <w:lang w:val="en-GB"/>
        </w:rPr>
        <w:t xml:space="preserve"> and the expected consequences of a delay</w:t>
      </w:r>
      <w:r w:rsidR="00F34C66">
        <w:rPr>
          <w:szCs w:val="24"/>
          <w:lang w:val="en-GB"/>
        </w:rPr>
        <w:t xml:space="preserve"> should be described here. Acceptance of such an unscheduled maintenance </w:t>
      </w:r>
      <w:r w:rsidR="005A1AA5">
        <w:rPr>
          <w:szCs w:val="24"/>
          <w:lang w:val="en-GB"/>
        </w:rPr>
        <w:t xml:space="preserve">for the BAH </w:t>
      </w:r>
      <w:r w:rsidR="00F34C66">
        <w:rPr>
          <w:szCs w:val="24"/>
          <w:lang w:val="en-GB"/>
        </w:rPr>
        <w:t xml:space="preserve">is subject to approval </w:t>
      </w:r>
      <w:r w:rsidR="00DD422D">
        <w:rPr>
          <w:szCs w:val="24"/>
          <w:lang w:val="en-GB"/>
        </w:rPr>
        <w:t xml:space="preserve">by </w:t>
      </w:r>
      <w:r w:rsidR="005A1AA5">
        <w:rPr>
          <w:szCs w:val="24"/>
          <w:lang w:val="en-GB"/>
        </w:rPr>
        <w:t xml:space="preserve">TSG. Acceptance of an unscheduled maintenance for messages other than the BAH is subject to the approval of </w:t>
      </w:r>
      <w:r w:rsidR="00DD422D">
        <w:rPr>
          <w:szCs w:val="24"/>
          <w:lang w:val="en-GB"/>
        </w:rPr>
        <w:t xml:space="preserve">the </w:t>
      </w:r>
      <w:r w:rsidR="00F34C66">
        <w:rPr>
          <w:szCs w:val="24"/>
          <w:lang w:val="en-GB"/>
        </w:rPr>
        <w:t xml:space="preserve">SEG and availability of a </w:t>
      </w:r>
      <w:r w:rsidR="00DD422D">
        <w:rPr>
          <w:szCs w:val="24"/>
          <w:lang w:val="en-GB"/>
        </w:rPr>
        <w:t xml:space="preserve">submitting organization to develop the new version of the messages. </w:t>
      </w:r>
    </w:p>
    <w:p w14:paraId="73516FBC" w14:textId="77777777" w:rsidR="00CB683A" w:rsidRPr="0085530C" w:rsidRDefault="00CB683A" w:rsidP="00F34C66">
      <w:pPr>
        <w:rPr>
          <w:i/>
          <w:szCs w:val="24"/>
          <w:lang w:val="en-GB"/>
        </w:rPr>
      </w:pPr>
      <w:r w:rsidRPr="0085530C">
        <w:rPr>
          <w:i/>
          <w:szCs w:val="24"/>
          <w:lang w:val="en-GB"/>
        </w:rPr>
        <w:t xml:space="preserve">Note: the ISO 20022 maintenance results in the publication of a new version of an ISO 20022 message. </w:t>
      </w:r>
      <w:r w:rsidR="0085530C" w:rsidRPr="0085530C">
        <w:rPr>
          <w:i/>
          <w:sz w:val="23"/>
          <w:szCs w:val="23"/>
        </w:rPr>
        <w:t xml:space="preserve">The actual </w:t>
      </w:r>
      <w:r w:rsidR="0085530C" w:rsidRPr="0085530C">
        <w:rPr>
          <w:bCs/>
          <w:i/>
          <w:sz w:val="23"/>
          <w:szCs w:val="23"/>
        </w:rPr>
        <w:t xml:space="preserve">implementation </w:t>
      </w:r>
      <w:r w:rsidR="0085530C" w:rsidRPr="0085530C">
        <w:rPr>
          <w:i/>
          <w:sz w:val="23"/>
          <w:szCs w:val="23"/>
        </w:rPr>
        <w:t>of such new version on networks and in user installations is not within the purview of ISO.</w:t>
      </w:r>
      <w:r w:rsidRPr="0085530C">
        <w:rPr>
          <w:i/>
          <w:szCs w:val="24"/>
          <w:lang w:val="en-GB"/>
        </w:rPr>
        <w:t xml:space="preserve">  </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4EB069D0" w14:textId="56204C59" w:rsidR="003042B8" w:rsidRPr="003042B8" w:rsidRDefault="003042B8" w:rsidP="00783891">
      <w:pPr>
        <w:rPr>
          <w:color w:val="0070C0"/>
          <w:lang w:val="en-GB"/>
        </w:rPr>
      </w:pPr>
      <w:r w:rsidRPr="003042B8">
        <w:rPr>
          <w:color w:val="0070C0"/>
          <w:lang w:val="en-GB"/>
        </w:rPr>
        <w:t>The desired outcome is shown alongside the present state below:</w:t>
      </w:r>
    </w:p>
    <w:tbl>
      <w:tblPr>
        <w:tblW w:w="3240" w:type="dxa"/>
        <w:tblInd w:w="108" w:type="dxa"/>
        <w:tblLook w:val="04A0" w:firstRow="1" w:lastRow="0" w:firstColumn="1" w:lastColumn="0" w:noHBand="0" w:noVBand="1"/>
      </w:tblPr>
      <w:tblGrid>
        <w:gridCol w:w="867"/>
        <w:gridCol w:w="1212"/>
        <w:gridCol w:w="1195"/>
      </w:tblGrid>
      <w:tr w:rsidR="003042B8" w:rsidRPr="003042B8" w14:paraId="000A11BB" w14:textId="77777777" w:rsidTr="003042B8">
        <w:trPr>
          <w:trHeight w:val="300"/>
        </w:trPr>
        <w:tc>
          <w:tcPr>
            <w:tcW w:w="3240" w:type="dxa"/>
            <w:gridSpan w:val="3"/>
            <w:tcBorders>
              <w:top w:val="nil"/>
              <w:left w:val="nil"/>
              <w:bottom w:val="nil"/>
              <w:right w:val="nil"/>
            </w:tcBorders>
            <w:shd w:val="clear" w:color="auto" w:fill="auto"/>
            <w:noWrap/>
            <w:vAlign w:val="bottom"/>
            <w:hideMark/>
          </w:tcPr>
          <w:p w14:paraId="3A58E9B2" w14:textId="77777777" w:rsidR="003042B8" w:rsidRPr="003042B8" w:rsidRDefault="003042B8" w:rsidP="003042B8">
            <w:pPr>
              <w:spacing w:before="0"/>
              <w:rPr>
                <w:rFonts w:ascii="Calibri" w:eastAsia="Times New Roman" w:hAnsi="Calibri" w:cs="Calibri"/>
                <w:color w:val="0070C0"/>
                <w:sz w:val="22"/>
                <w:szCs w:val="22"/>
                <w:lang w:val="en-GB" w:eastAsia="en-GB"/>
              </w:rPr>
            </w:pPr>
            <w:r w:rsidRPr="003042B8">
              <w:rPr>
                <w:rFonts w:ascii="Calibri" w:eastAsia="Times New Roman" w:hAnsi="Calibri" w:cs="Calibri"/>
                <w:color w:val="0070C0"/>
                <w:sz w:val="22"/>
                <w:szCs w:val="22"/>
                <w:lang w:val="en-GB" w:eastAsia="en-GB"/>
              </w:rPr>
              <w:t>Present implementation</w:t>
            </w:r>
          </w:p>
        </w:tc>
      </w:tr>
      <w:tr w:rsidR="003042B8" w:rsidRPr="003042B8" w14:paraId="41242501" w14:textId="77777777" w:rsidTr="003042B8">
        <w:trPr>
          <w:trHeight w:val="300"/>
        </w:trPr>
        <w:tc>
          <w:tcPr>
            <w:tcW w:w="833" w:type="dxa"/>
            <w:tcBorders>
              <w:top w:val="nil"/>
              <w:left w:val="nil"/>
              <w:bottom w:val="nil"/>
              <w:right w:val="nil"/>
            </w:tcBorders>
            <w:shd w:val="clear" w:color="auto" w:fill="auto"/>
            <w:noWrap/>
            <w:vAlign w:val="bottom"/>
            <w:hideMark/>
          </w:tcPr>
          <w:p w14:paraId="1D56F207" w14:textId="77777777" w:rsidR="003042B8" w:rsidRPr="003042B8" w:rsidRDefault="003042B8" w:rsidP="003042B8">
            <w:pPr>
              <w:spacing w:before="0"/>
              <w:rPr>
                <w:rFonts w:ascii="Calibri" w:eastAsia="Times New Roman" w:hAnsi="Calibri" w:cs="Calibri"/>
                <w:color w:val="0070C0"/>
                <w:sz w:val="22"/>
                <w:szCs w:val="22"/>
                <w:lang w:val="en-GB" w:eastAsia="en-GB"/>
              </w:rPr>
            </w:pPr>
            <w:proofErr w:type="spellStart"/>
            <w:r w:rsidRPr="003042B8">
              <w:rPr>
                <w:rFonts w:ascii="Calibri" w:eastAsia="Times New Roman" w:hAnsi="Calibri" w:cs="Calibri"/>
                <w:color w:val="0070C0"/>
                <w:sz w:val="22"/>
                <w:szCs w:val="22"/>
                <w:lang w:val="en-GB" w:eastAsia="en-GB"/>
              </w:rPr>
              <w:t>ClrFees</w:t>
            </w:r>
            <w:proofErr w:type="spellEnd"/>
          </w:p>
        </w:tc>
        <w:tc>
          <w:tcPr>
            <w:tcW w:w="2407" w:type="dxa"/>
            <w:gridSpan w:val="2"/>
            <w:tcBorders>
              <w:top w:val="nil"/>
              <w:left w:val="nil"/>
              <w:bottom w:val="nil"/>
              <w:right w:val="nil"/>
            </w:tcBorders>
            <w:shd w:val="clear" w:color="auto" w:fill="auto"/>
            <w:noWrap/>
            <w:vAlign w:val="bottom"/>
            <w:hideMark/>
          </w:tcPr>
          <w:p w14:paraId="2B8FA7C6" w14:textId="77777777" w:rsidR="003042B8" w:rsidRPr="003042B8" w:rsidRDefault="003042B8" w:rsidP="003042B8">
            <w:pPr>
              <w:spacing w:before="0"/>
              <w:rPr>
                <w:rFonts w:ascii="Calibri" w:eastAsia="Times New Roman" w:hAnsi="Calibri" w:cs="Calibri"/>
                <w:color w:val="0070C0"/>
                <w:sz w:val="22"/>
                <w:szCs w:val="22"/>
                <w:lang w:val="en-GB" w:eastAsia="en-GB"/>
              </w:rPr>
            </w:pPr>
            <w:proofErr w:type="spellStart"/>
            <w:r w:rsidRPr="003042B8">
              <w:rPr>
                <w:rFonts w:ascii="Calibri" w:eastAsia="Times New Roman" w:hAnsi="Calibri" w:cs="Calibri"/>
                <w:color w:val="0070C0"/>
                <w:sz w:val="22"/>
                <w:szCs w:val="22"/>
                <w:lang w:val="en-GB" w:eastAsia="en-GB"/>
              </w:rPr>
              <w:t>ClrFeesCcy</w:t>
            </w:r>
            <w:proofErr w:type="spellEnd"/>
          </w:p>
        </w:tc>
      </w:tr>
      <w:tr w:rsidR="003042B8" w:rsidRPr="003042B8" w14:paraId="40FB4D99" w14:textId="77777777" w:rsidTr="003042B8">
        <w:trPr>
          <w:trHeight w:val="300"/>
        </w:trPr>
        <w:tc>
          <w:tcPr>
            <w:tcW w:w="833" w:type="dxa"/>
            <w:tcBorders>
              <w:top w:val="nil"/>
              <w:left w:val="nil"/>
              <w:bottom w:val="nil"/>
              <w:right w:val="nil"/>
            </w:tcBorders>
            <w:shd w:val="clear" w:color="auto" w:fill="auto"/>
            <w:noWrap/>
            <w:vAlign w:val="bottom"/>
            <w:hideMark/>
          </w:tcPr>
          <w:p w14:paraId="22AC7B8B" w14:textId="77777777" w:rsidR="003042B8" w:rsidRPr="003042B8" w:rsidRDefault="003042B8" w:rsidP="003042B8">
            <w:pPr>
              <w:spacing w:before="0"/>
              <w:jc w:val="right"/>
              <w:rPr>
                <w:rFonts w:ascii="Calibri" w:eastAsia="Times New Roman" w:hAnsi="Calibri" w:cs="Calibri"/>
                <w:color w:val="0070C0"/>
                <w:sz w:val="22"/>
                <w:szCs w:val="22"/>
                <w:lang w:val="en-GB" w:eastAsia="en-GB"/>
              </w:rPr>
            </w:pPr>
            <w:r w:rsidRPr="003042B8">
              <w:rPr>
                <w:rFonts w:ascii="Calibri" w:eastAsia="Times New Roman" w:hAnsi="Calibri" w:cs="Calibri"/>
                <w:color w:val="0070C0"/>
                <w:sz w:val="22"/>
                <w:szCs w:val="22"/>
                <w:lang w:val="en-GB" w:eastAsia="en-GB"/>
              </w:rPr>
              <w:t>100</w:t>
            </w:r>
          </w:p>
        </w:tc>
        <w:tc>
          <w:tcPr>
            <w:tcW w:w="1212" w:type="dxa"/>
            <w:tcBorders>
              <w:top w:val="nil"/>
              <w:left w:val="nil"/>
              <w:bottom w:val="nil"/>
              <w:right w:val="nil"/>
            </w:tcBorders>
            <w:shd w:val="clear" w:color="auto" w:fill="auto"/>
            <w:noWrap/>
            <w:vAlign w:val="bottom"/>
            <w:hideMark/>
          </w:tcPr>
          <w:p w14:paraId="4E0C57B7" w14:textId="77777777" w:rsidR="003042B8" w:rsidRPr="003042B8" w:rsidRDefault="003042B8" w:rsidP="003042B8">
            <w:pPr>
              <w:spacing w:before="0"/>
              <w:rPr>
                <w:rFonts w:ascii="Calibri" w:eastAsia="Times New Roman" w:hAnsi="Calibri" w:cs="Calibri"/>
                <w:color w:val="0070C0"/>
                <w:sz w:val="22"/>
                <w:szCs w:val="22"/>
                <w:lang w:val="en-GB" w:eastAsia="en-GB"/>
              </w:rPr>
            </w:pPr>
            <w:r w:rsidRPr="003042B8">
              <w:rPr>
                <w:rFonts w:ascii="Calibri" w:eastAsia="Times New Roman" w:hAnsi="Calibri" w:cs="Calibri"/>
                <w:color w:val="0070C0"/>
                <w:sz w:val="22"/>
                <w:szCs w:val="22"/>
                <w:lang w:val="en-GB" w:eastAsia="en-GB"/>
              </w:rPr>
              <w:t>GBP</w:t>
            </w:r>
          </w:p>
        </w:tc>
        <w:tc>
          <w:tcPr>
            <w:tcW w:w="1195" w:type="dxa"/>
            <w:tcBorders>
              <w:top w:val="nil"/>
              <w:left w:val="nil"/>
              <w:bottom w:val="nil"/>
              <w:right w:val="nil"/>
            </w:tcBorders>
            <w:shd w:val="clear" w:color="auto" w:fill="auto"/>
            <w:noWrap/>
            <w:vAlign w:val="bottom"/>
            <w:hideMark/>
          </w:tcPr>
          <w:p w14:paraId="4A8DE79D" w14:textId="77777777" w:rsidR="003042B8" w:rsidRPr="003042B8" w:rsidRDefault="003042B8" w:rsidP="003042B8">
            <w:pPr>
              <w:spacing w:before="0"/>
              <w:rPr>
                <w:rFonts w:ascii="Calibri" w:eastAsia="Times New Roman" w:hAnsi="Calibri" w:cs="Calibri"/>
                <w:color w:val="0070C0"/>
                <w:sz w:val="22"/>
                <w:szCs w:val="22"/>
                <w:lang w:val="en-GB" w:eastAsia="en-GB"/>
              </w:rPr>
            </w:pPr>
          </w:p>
        </w:tc>
      </w:tr>
      <w:tr w:rsidR="003042B8" w:rsidRPr="003042B8" w14:paraId="4D77BA0F" w14:textId="77777777" w:rsidTr="003042B8">
        <w:trPr>
          <w:trHeight w:val="300"/>
        </w:trPr>
        <w:tc>
          <w:tcPr>
            <w:tcW w:w="833" w:type="dxa"/>
            <w:tcBorders>
              <w:top w:val="nil"/>
              <w:left w:val="nil"/>
              <w:bottom w:val="nil"/>
              <w:right w:val="nil"/>
            </w:tcBorders>
            <w:shd w:val="clear" w:color="auto" w:fill="auto"/>
            <w:noWrap/>
            <w:vAlign w:val="bottom"/>
            <w:hideMark/>
          </w:tcPr>
          <w:p w14:paraId="03DCBF14" w14:textId="77777777" w:rsidR="003042B8" w:rsidRPr="003042B8" w:rsidRDefault="003042B8" w:rsidP="003042B8">
            <w:pPr>
              <w:spacing w:before="0"/>
              <w:rPr>
                <w:rFonts w:eastAsia="Times New Roman"/>
                <w:color w:val="0070C0"/>
                <w:sz w:val="20"/>
                <w:lang w:val="en-GB" w:eastAsia="en-GB"/>
              </w:rPr>
            </w:pPr>
          </w:p>
        </w:tc>
        <w:tc>
          <w:tcPr>
            <w:tcW w:w="1212" w:type="dxa"/>
            <w:tcBorders>
              <w:top w:val="nil"/>
              <w:left w:val="nil"/>
              <w:bottom w:val="nil"/>
              <w:right w:val="nil"/>
            </w:tcBorders>
            <w:shd w:val="clear" w:color="auto" w:fill="auto"/>
            <w:noWrap/>
            <w:vAlign w:val="bottom"/>
            <w:hideMark/>
          </w:tcPr>
          <w:p w14:paraId="469B033C" w14:textId="77777777" w:rsidR="003042B8" w:rsidRPr="003042B8" w:rsidRDefault="003042B8" w:rsidP="003042B8">
            <w:pPr>
              <w:spacing w:before="0"/>
              <w:rPr>
                <w:rFonts w:eastAsia="Times New Roman"/>
                <w:color w:val="0070C0"/>
                <w:sz w:val="20"/>
                <w:lang w:val="en-GB" w:eastAsia="en-GB"/>
              </w:rPr>
            </w:pPr>
          </w:p>
        </w:tc>
        <w:tc>
          <w:tcPr>
            <w:tcW w:w="1195" w:type="dxa"/>
            <w:tcBorders>
              <w:top w:val="nil"/>
              <w:left w:val="nil"/>
              <w:bottom w:val="nil"/>
              <w:right w:val="nil"/>
            </w:tcBorders>
            <w:shd w:val="clear" w:color="auto" w:fill="auto"/>
            <w:noWrap/>
            <w:vAlign w:val="bottom"/>
            <w:hideMark/>
          </w:tcPr>
          <w:p w14:paraId="43D7EBA4" w14:textId="77777777" w:rsidR="003042B8" w:rsidRPr="003042B8" w:rsidRDefault="003042B8" w:rsidP="003042B8">
            <w:pPr>
              <w:spacing w:before="0"/>
              <w:rPr>
                <w:rFonts w:eastAsia="Times New Roman"/>
                <w:color w:val="0070C0"/>
                <w:sz w:val="20"/>
                <w:lang w:val="en-GB" w:eastAsia="en-GB"/>
              </w:rPr>
            </w:pPr>
          </w:p>
        </w:tc>
      </w:tr>
      <w:tr w:rsidR="003042B8" w:rsidRPr="003042B8" w14:paraId="2C40B4AD" w14:textId="77777777" w:rsidTr="003042B8">
        <w:trPr>
          <w:trHeight w:val="300"/>
        </w:trPr>
        <w:tc>
          <w:tcPr>
            <w:tcW w:w="3240" w:type="dxa"/>
            <w:gridSpan w:val="3"/>
            <w:tcBorders>
              <w:top w:val="nil"/>
              <w:left w:val="nil"/>
              <w:bottom w:val="nil"/>
              <w:right w:val="nil"/>
            </w:tcBorders>
            <w:shd w:val="clear" w:color="auto" w:fill="auto"/>
            <w:noWrap/>
            <w:vAlign w:val="bottom"/>
            <w:hideMark/>
          </w:tcPr>
          <w:p w14:paraId="0529B63B" w14:textId="77777777" w:rsidR="003042B8" w:rsidRPr="003042B8" w:rsidRDefault="003042B8" w:rsidP="003042B8">
            <w:pPr>
              <w:spacing w:before="0"/>
              <w:rPr>
                <w:rFonts w:ascii="Calibri" w:eastAsia="Times New Roman" w:hAnsi="Calibri" w:cs="Calibri"/>
                <w:color w:val="0070C0"/>
                <w:sz w:val="22"/>
                <w:szCs w:val="22"/>
                <w:lang w:val="en-GB" w:eastAsia="en-GB"/>
              </w:rPr>
            </w:pPr>
            <w:r w:rsidRPr="003042B8">
              <w:rPr>
                <w:rFonts w:ascii="Calibri" w:eastAsia="Times New Roman" w:hAnsi="Calibri" w:cs="Calibri"/>
                <w:color w:val="0070C0"/>
                <w:sz w:val="22"/>
                <w:szCs w:val="22"/>
                <w:lang w:val="en-GB" w:eastAsia="en-GB"/>
              </w:rPr>
              <w:t>Proposed implementation</w:t>
            </w:r>
          </w:p>
        </w:tc>
      </w:tr>
      <w:tr w:rsidR="003042B8" w:rsidRPr="003042B8" w14:paraId="3F5808DA" w14:textId="77777777" w:rsidTr="003042B8">
        <w:trPr>
          <w:trHeight w:val="300"/>
        </w:trPr>
        <w:tc>
          <w:tcPr>
            <w:tcW w:w="833" w:type="dxa"/>
            <w:tcBorders>
              <w:top w:val="nil"/>
              <w:left w:val="nil"/>
              <w:bottom w:val="nil"/>
              <w:right w:val="nil"/>
            </w:tcBorders>
            <w:shd w:val="clear" w:color="auto" w:fill="auto"/>
            <w:noWrap/>
            <w:vAlign w:val="bottom"/>
            <w:hideMark/>
          </w:tcPr>
          <w:p w14:paraId="49601003" w14:textId="77777777" w:rsidR="003042B8" w:rsidRPr="003042B8" w:rsidRDefault="003042B8" w:rsidP="003042B8">
            <w:pPr>
              <w:spacing w:before="0"/>
              <w:rPr>
                <w:rFonts w:ascii="Calibri" w:eastAsia="Times New Roman" w:hAnsi="Calibri" w:cs="Calibri"/>
                <w:color w:val="0070C0"/>
                <w:sz w:val="22"/>
                <w:szCs w:val="22"/>
                <w:lang w:val="en-GB" w:eastAsia="en-GB"/>
              </w:rPr>
            </w:pPr>
            <w:proofErr w:type="spellStart"/>
            <w:r w:rsidRPr="003042B8">
              <w:rPr>
                <w:rFonts w:ascii="Calibri" w:eastAsia="Times New Roman" w:hAnsi="Calibri" w:cs="Calibri"/>
                <w:color w:val="0070C0"/>
                <w:sz w:val="22"/>
                <w:szCs w:val="22"/>
                <w:lang w:val="en-GB" w:eastAsia="en-GB"/>
              </w:rPr>
              <w:t>ClrFees</w:t>
            </w:r>
            <w:proofErr w:type="spellEnd"/>
          </w:p>
        </w:tc>
        <w:tc>
          <w:tcPr>
            <w:tcW w:w="1212" w:type="dxa"/>
            <w:tcBorders>
              <w:top w:val="nil"/>
              <w:left w:val="nil"/>
              <w:bottom w:val="nil"/>
              <w:right w:val="nil"/>
            </w:tcBorders>
            <w:shd w:val="clear" w:color="auto" w:fill="auto"/>
            <w:noWrap/>
            <w:vAlign w:val="bottom"/>
            <w:hideMark/>
          </w:tcPr>
          <w:p w14:paraId="055321A7" w14:textId="77777777" w:rsidR="003042B8" w:rsidRPr="003042B8" w:rsidRDefault="003042B8" w:rsidP="003042B8">
            <w:pPr>
              <w:spacing w:before="0"/>
              <w:rPr>
                <w:rFonts w:ascii="Calibri" w:eastAsia="Times New Roman" w:hAnsi="Calibri" w:cs="Calibri"/>
                <w:color w:val="0070C0"/>
                <w:sz w:val="22"/>
                <w:szCs w:val="22"/>
                <w:lang w:val="en-GB" w:eastAsia="en-GB"/>
              </w:rPr>
            </w:pPr>
            <w:proofErr w:type="spellStart"/>
            <w:r w:rsidRPr="003042B8">
              <w:rPr>
                <w:rFonts w:ascii="Calibri" w:eastAsia="Times New Roman" w:hAnsi="Calibri" w:cs="Calibri"/>
                <w:color w:val="0070C0"/>
                <w:sz w:val="22"/>
                <w:szCs w:val="22"/>
                <w:lang w:val="en-GB" w:eastAsia="en-GB"/>
              </w:rPr>
              <w:t>ClrFeesCcy</w:t>
            </w:r>
            <w:proofErr w:type="spellEnd"/>
          </w:p>
        </w:tc>
        <w:tc>
          <w:tcPr>
            <w:tcW w:w="1195" w:type="dxa"/>
            <w:tcBorders>
              <w:top w:val="nil"/>
              <w:left w:val="nil"/>
              <w:bottom w:val="nil"/>
              <w:right w:val="nil"/>
            </w:tcBorders>
            <w:shd w:val="clear" w:color="auto" w:fill="auto"/>
            <w:noWrap/>
            <w:vAlign w:val="bottom"/>
            <w:hideMark/>
          </w:tcPr>
          <w:p w14:paraId="613EBFFC" w14:textId="77777777" w:rsidR="003042B8" w:rsidRPr="003042B8" w:rsidRDefault="003042B8" w:rsidP="003042B8">
            <w:pPr>
              <w:spacing w:before="0"/>
              <w:rPr>
                <w:rFonts w:ascii="Calibri" w:eastAsia="Times New Roman" w:hAnsi="Calibri" w:cs="Calibri"/>
                <w:color w:val="0070C0"/>
                <w:sz w:val="22"/>
                <w:szCs w:val="22"/>
                <w:lang w:val="en-GB" w:eastAsia="en-GB"/>
              </w:rPr>
            </w:pPr>
            <w:proofErr w:type="spellStart"/>
            <w:r w:rsidRPr="003042B8">
              <w:rPr>
                <w:rFonts w:ascii="Calibri" w:eastAsia="Times New Roman" w:hAnsi="Calibri" w:cs="Calibri"/>
                <w:color w:val="0070C0"/>
                <w:sz w:val="22"/>
                <w:szCs w:val="22"/>
                <w:lang w:val="en-GB" w:eastAsia="en-GB"/>
              </w:rPr>
              <w:t>MemberId</w:t>
            </w:r>
            <w:proofErr w:type="spellEnd"/>
          </w:p>
        </w:tc>
      </w:tr>
      <w:tr w:rsidR="003042B8" w:rsidRPr="003042B8" w14:paraId="3233854B" w14:textId="77777777" w:rsidTr="003042B8">
        <w:trPr>
          <w:trHeight w:val="300"/>
        </w:trPr>
        <w:tc>
          <w:tcPr>
            <w:tcW w:w="833" w:type="dxa"/>
            <w:tcBorders>
              <w:top w:val="nil"/>
              <w:left w:val="nil"/>
              <w:bottom w:val="nil"/>
              <w:right w:val="nil"/>
            </w:tcBorders>
            <w:shd w:val="clear" w:color="auto" w:fill="auto"/>
            <w:noWrap/>
            <w:vAlign w:val="bottom"/>
            <w:hideMark/>
          </w:tcPr>
          <w:p w14:paraId="2F587906" w14:textId="77777777" w:rsidR="003042B8" w:rsidRPr="003042B8" w:rsidRDefault="003042B8" w:rsidP="003042B8">
            <w:pPr>
              <w:spacing w:before="0"/>
              <w:jc w:val="right"/>
              <w:rPr>
                <w:rFonts w:ascii="Calibri" w:eastAsia="Times New Roman" w:hAnsi="Calibri" w:cs="Calibri"/>
                <w:color w:val="0070C0"/>
                <w:sz w:val="22"/>
                <w:szCs w:val="22"/>
                <w:lang w:val="en-GB" w:eastAsia="en-GB"/>
              </w:rPr>
            </w:pPr>
            <w:r w:rsidRPr="003042B8">
              <w:rPr>
                <w:rFonts w:ascii="Calibri" w:eastAsia="Times New Roman" w:hAnsi="Calibri" w:cs="Calibri"/>
                <w:color w:val="0070C0"/>
                <w:sz w:val="22"/>
                <w:szCs w:val="22"/>
                <w:lang w:val="en-GB" w:eastAsia="en-GB"/>
              </w:rPr>
              <w:t>100</w:t>
            </w:r>
          </w:p>
        </w:tc>
        <w:tc>
          <w:tcPr>
            <w:tcW w:w="1212" w:type="dxa"/>
            <w:tcBorders>
              <w:top w:val="nil"/>
              <w:left w:val="nil"/>
              <w:bottom w:val="nil"/>
              <w:right w:val="nil"/>
            </w:tcBorders>
            <w:shd w:val="clear" w:color="auto" w:fill="auto"/>
            <w:noWrap/>
            <w:vAlign w:val="bottom"/>
            <w:hideMark/>
          </w:tcPr>
          <w:p w14:paraId="7027AF3F" w14:textId="77777777" w:rsidR="003042B8" w:rsidRPr="003042B8" w:rsidRDefault="003042B8" w:rsidP="003042B8">
            <w:pPr>
              <w:spacing w:before="0"/>
              <w:rPr>
                <w:rFonts w:ascii="Calibri" w:eastAsia="Times New Roman" w:hAnsi="Calibri" w:cs="Calibri"/>
                <w:color w:val="0070C0"/>
                <w:sz w:val="22"/>
                <w:szCs w:val="22"/>
                <w:lang w:val="en-GB" w:eastAsia="en-GB"/>
              </w:rPr>
            </w:pPr>
            <w:r w:rsidRPr="003042B8">
              <w:rPr>
                <w:rFonts w:ascii="Calibri" w:eastAsia="Times New Roman" w:hAnsi="Calibri" w:cs="Calibri"/>
                <w:color w:val="0070C0"/>
                <w:sz w:val="22"/>
                <w:szCs w:val="22"/>
                <w:lang w:val="en-GB" w:eastAsia="en-GB"/>
              </w:rPr>
              <w:t>GBP</w:t>
            </w:r>
          </w:p>
        </w:tc>
        <w:tc>
          <w:tcPr>
            <w:tcW w:w="1195" w:type="dxa"/>
            <w:tcBorders>
              <w:top w:val="nil"/>
              <w:left w:val="nil"/>
              <w:bottom w:val="nil"/>
              <w:right w:val="nil"/>
            </w:tcBorders>
            <w:shd w:val="clear" w:color="auto" w:fill="auto"/>
            <w:noWrap/>
            <w:vAlign w:val="bottom"/>
            <w:hideMark/>
          </w:tcPr>
          <w:p w14:paraId="3D7AFC72" w14:textId="77777777" w:rsidR="003042B8" w:rsidRPr="003042B8" w:rsidRDefault="003042B8" w:rsidP="003042B8">
            <w:pPr>
              <w:spacing w:before="0"/>
              <w:rPr>
                <w:rFonts w:ascii="Calibri" w:eastAsia="Times New Roman" w:hAnsi="Calibri" w:cs="Calibri"/>
                <w:color w:val="0070C0"/>
                <w:sz w:val="22"/>
                <w:szCs w:val="22"/>
                <w:lang w:val="en-GB" w:eastAsia="en-GB"/>
              </w:rPr>
            </w:pPr>
            <w:r w:rsidRPr="003042B8">
              <w:rPr>
                <w:rFonts w:ascii="Calibri" w:eastAsia="Times New Roman" w:hAnsi="Calibri" w:cs="Calibri"/>
                <w:color w:val="0070C0"/>
                <w:sz w:val="22"/>
                <w:szCs w:val="22"/>
                <w:lang w:val="en-GB" w:eastAsia="en-GB"/>
              </w:rPr>
              <w:t>CM1</w:t>
            </w:r>
          </w:p>
        </w:tc>
      </w:tr>
      <w:tr w:rsidR="003042B8" w:rsidRPr="003042B8" w14:paraId="6BC6B114" w14:textId="77777777" w:rsidTr="003042B8">
        <w:trPr>
          <w:trHeight w:val="300"/>
        </w:trPr>
        <w:tc>
          <w:tcPr>
            <w:tcW w:w="833" w:type="dxa"/>
            <w:tcBorders>
              <w:top w:val="nil"/>
              <w:left w:val="nil"/>
              <w:bottom w:val="nil"/>
              <w:right w:val="nil"/>
            </w:tcBorders>
            <w:shd w:val="clear" w:color="auto" w:fill="auto"/>
            <w:noWrap/>
            <w:vAlign w:val="bottom"/>
            <w:hideMark/>
          </w:tcPr>
          <w:p w14:paraId="7D8D6CF4" w14:textId="77777777" w:rsidR="003042B8" w:rsidRPr="003042B8" w:rsidRDefault="003042B8" w:rsidP="003042B8">
            <w:pPr>
              <w:spacing w:before="0"/>
              <w:jc w:val="right"/>
              <w:rPr>
                <w:rFonts w:ascii="Calibri" w:eastAsia="Times New Roman" w:hAnsi="Calibri" w:cs="Calibri"/>
                <w:color w:val="0070C0"/>
                <w:sz w:val="22"/>
                <w:szCs w:val="22"/>
                <w:lang w:val="en-GB" w:eastAsia="en-GB"/>
              </w:rPr>
            </w:pPr>
            <w:r w:rsidRPr="003042B8">
              <w:rPr>
                <w:rFonts w:ascii="Calibri" w:eastAsia="Times New Roman" w:hAnsi="Calibri" w:cs="Calibri"/>
                <w:color w:val="0070C0"/>
                <w:sz w:val="22"/>
                <w:szCs w:val="22"/>
                <w:lang w:val="en-GB" w:eastAsia="en-GB"/>
              </w:rPr>
              <w:t>200</w:t>
            </w:r>
          </w:p>
        </w:tc>
        <w:tc>
          <w:tcPr>
            <w:tcW w:w="1212" w:type="dxa"/>
            <w:tcBorders>
              <w:top w:val="nil"/>
              <w:left w:val="nil"/>
              <w:bottom w:val="nil"/>
              <w:right w:val="nil"/>
            </w:tcBorders>
            <w:shd w:val="clear" w:color="auto" w:fill="auto"/>
            <w:noWrap/>
            <w:vAlign w:val="bottom"/>
            <w:hideMark/>
          </w:tcPr>
          <w:p w14:paraId="3599BD42" w14:textId="77777777" w:rsidR="003042B8" w:rsidRPr="003042B8" w:rsidRDefault="003042B8" w:rsidP="003042B8">
            <w:pPr>
              <w:spacing w:before="0"/>
              <w:rPr>
                <w:rFonts w:ascii="Calibri" w:eastAsia="Times New Roman" w:hAnsi="Calibri" w:cs="Calibri"/>
                <w:color w:val="0070C0"/>
                <w:sz w:val="22"/>
                <w:szCs w:val="22"/>
                <w:lang w:val="en-GB" w:eastAsia="en-GB"/>
              </w:rPr>
            </w:pPr>
            <w:r w:rsidRPr="003042B8">
              <w:rPr>
                <w:rFonts w:ascii="Calibri" w:eastAsia="Times New Roman" w:hAnsi="Calibri" w:cs="Calibri"/>
                <w:color w:val="0070C0"/>
                <w:sz w:val="22"/>
                <w:szCs w:val="22"/>
                <w:lang w:val="en-GB" w:eastAsia="en-GB"/>
              </w:rPr>
              <w:t>EUR</w:t>
            </w:r>
          </w:p>
        </w:tc>
        <w:tc>
          <w:tcPr>
            <w:tcW w:w="1195" w:type="dxa"/>
            <w:tcBorders>
              <w:top w:val="nil"/>
              <w:left w:val="nil"/>
              <w:bottom w:val="nil"/>
              <w:right w:val="nil"/>
            </w:tcBorders>
            <w:shd w:val="clear" w:color="auto" w:fill="auto"/>
            <w:noWrap/>
            <w:vAlign w:val="bottom"/>
            <w:hideMark/>
          </w:tcPr>
          <w:p w14:paraId="65FE671D" w14:textId="77777777" w:rsidR="003042B8" w:rsidRPr="003042B8" w:rsidRDefault="003042B8" w:rsidP="003042B8">
            <w:pPr>
              <w:spacing w:before="0"/>
              <w:rPr>
                <w:rFonts w:ascii="Calibri" w:eastAsia="Times New Roman" w:hAnsi="Calibri" w:cs="Calibri"/>
                <w:color w:val="0070C0"/>
                <w:sz w:val="22"/>
                <w:szCs w:val="22"/>
                <w:lang w:val="en-GB" w:eastAsia="en-GB"/>
              </w:rPr>
            </w:pPr>
            <w:r w:rsidRPr="003042B8">
              <w:rPr>
                <w:rFonts w:ascii="Calibri" w:eastAsia="Times New Roman" w:hAnsi="Calibri" w:cs="Calibri"/>
                <w:color w:val="0070C0"/>
                <w:sz w:val="22"/>
                <w:szCs w:val="22"/>
                <w:lang w:val="en-GB" w:eastAsia="en-GB"/>
              </w:rPr>
              <w:t>CM2</w:t>
            </w:r>
          </w:p>
        </w:tc>
      </w:tr>
      <w:tr w:rsidR="003042B8" w:rsidRPr="003042B8" w14:paraId="20501603" w14:textId="77777777" w:rsidTr="003042B8">
        <w:trPr>
          <w:trHeight w:val="300"/>
        </w:trPr>
        <w:tc>
          <w:tcPr>
            <w:tcW w:w="833" w:type="dxa"/>
            <w:tcBorders>
              <w:top w:val="nil"/>
              <w:left w:val="nil"/>
              <w:bottom w:val="nil"/>
              <w:right w:val="nil"/>
            </w:tcBorders>
            <w:shd w:val="clear" w:color="auto" w:fill="auto"/>
            <w:noWrap/>
            <w:vAlign w:val="bottom"/>
            <w:hideMark/>
          </w:tcPr>
          <w:p w14:paraId="40843B89" w14:textId="77777777" w:rsidR="003042B8" w:rsidRPr="003042B8" w:rsidRDefault="003042B8" w:rsidP="003042B8">
            <w:pPr>
              <w:spacing w:before="0"/>
              <w:jc w:val="right"/>
              <w:rPr>
                <w:rFonts w:ascii="Calibri" w:eastAsia="Times New Roman" w:hAnsi="Calibri" w:cs="Calibri"/>
                <w:color w:val="0070C0"/>
                <w:sz w:val="22"/>
                <w:szCs w:val="22"/>
                <w:lang w:val="en-GB" w:eastAsia="en-GB"/>
              </w:rPr>
            </w:pPr>
            <w:r w:rsidRPr="003042B8">
              <w:rPr>
                <w:rFonts w:ascii="Calibri" w:eastAsia="Times New Roman" w:hAnsi="Calibri" w:cs="Calibri"/>
                <w:color w:val="0070C0"/>
                <w:sz w:val="22"/>
                <w:szCs w:val="22"/>
                <w:lang w:val="en-GB" w:eastAsia="en-GB"/>
              </w:rPr>
              <w:t>300</w:t>
            </w:r>
          </w:p>
        </w:tc>
        <w:tc>
          <w:tcPr>
            <w:tcW w:w="1212" w:type="dxa"/>
            <w:tcBorders>
              <w:top w:val="nil"/>
              <w:left w:val="nil"/>
              <w:bottom w:val="nil"/>
              <w:right w:val="nil"/>
            </w:tcBorders>
            <w:shd w:val="clear" w:color="auto" w:fill="auto"/>
            <w:noWrap/>
            <w:vAlign w:val="bottom"/>
            <w:hideMark/>
          </w:tcPr>
          <w:p w14:paraId="2BECC692" w14:textId="77777777" w:rsidR="003042B8" w:rsidRPr="003042B8" w:rsidRDefault="003042B8" w:rsidP="003042B8">
            <w:pPr>
              <w:spacing w:before="0"/>
              <w:rPr>
                <w:rFonts w:ascii="Calibri" w:eastAsia="Times New Roman" w:hAnsi="Calibri" w:cs="Calibri"/>
                <w:color w:val="0070C0"/>
                <w:sz w:val="22"/>
                <w:szCs w:val="22"/>
                <w:lang w:val="en-GB" w:eastAsia="en-GB"/>
              </w:rPr>
            </w:pPr>
            <w:r w:rsidRPr="003042B8">
              <w:rPr>
                <w:rFonts w:ascii="Calibri" w:eastAsia="Times New Roman" w:hAnsi="Calibri" w:cs="Calibri"/>
                <w:color w:val="0070C0"/>
                <w:sz w:val="22"/>
                <w:szCs w:val="22"/>
                <w:lang w:val="en-GB" w:eastAsia="en-GB"/>
              </w:rPr>
              <w:t>USD</w:t>
            </w:r>
          </w:p>
        </w:tc>
        <w:tc>
          <w:tcPr>
            <w:tcW w:w="1195" w:type="dxa"/>
            <w:tcBorders>
              <w:top w:val="nil"/>
              <w:left w:val="nil"/>
              <w:bottom w:val="nil"/>
              <w:right w:val="nil"/>
            </w:tcBorders>
            <w:shd w:val="clear" w:color="auto" w:fill="auto"/>
            <w:noWrap/>
            <w:vAlign w:val="bottom"/>
            <w:hideMark/>
          </w:tcPr>
          <w:p w14:paraId="358A93AD" w14:textId="77777777" w:rsidR="003042B8" w:rsidRPr="003042B8" w:rsidRDefault="003042B8" w:rsidP="003042B8">
            <w:pPr>
              <w:spacing w:before="0"/>
              <w:rPr>
                <w:rFonts w:ascii="Calibri" w:eastAsia="Times New Roman" w:hAnsi="Calibri" w:cs="Calibri"/>
                <w:color w:val="0070C0"/>
                <w:sz w:val="22"/>
                <w:szCs w:val="22"/>
                <w:lang w:val="en-GB" w:eastAsia="en-GB"/>
              </w:rPr>
            </w:pPr>
            <w:r w:rsidRPr="003042B8">
              <w:rPr>
                <w:rFonts w:ascii="Calibri" w:eastAsia="Times New Roman" w:hAnsi="Calibri" w:cs="Calibri"/>
                <w:color w:val="0070C0"/>
                <w:sz w:val="22"/>
                <w:szCs w:val="22"/>
                <w:lang w:val="en-GB" w:eastAsia="en-GB"/>
              </w:rPr>
              <w:t>CM3</w:t>
            </w:r>
          </w:p>
        </w:tc>
      </w:tr>
    </w:tbl>
    <w:p w14:paraId="0689D37B" w14:textId="77777777" w:rsidR="003042B8" w:rsidRDefault="003042B8" w:rsidP="00783891">
      <w:pPr>
        <w:rPr>
          <w:lang w:val="en-GB"/>
        </w:rPr>
      </w:pP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45CBDC1F"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4B8E8E50" w:rsidR="00130EB9" w:rsidRPr="00AD7CD5" w:rsidRDefault="00BE08F2"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2"/>
      <w:footerReference w:type="default" r:id="rId13"/>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8842" w14:textId="77777777" w:rsidR="00DF192F" w:rsidRDefault="00DF192F">
      <w:r>
        <w:separator/>
      </w:r>
    </w:p>
  </w:endnote>
  <w:endnote w:type="continuationSeparator" w:id="0">
    <w:p w14:paraId="566E8D4C" w14:textId="77777777" w:rsidR="00DF192F" w:rsidRDefault="00DF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3D3F7F99" w:rsidR="00567F13" w:rsidRDefault="009F5F76">
    <w:pPr>
      <w:pStyle w:val="Footer"/>
      <w:rPr>
        <w:rStyle w:val="PageNumber"/>
      </w:rPr>
    </w:pPr>
    <w:r>
      <w:fldChar w:fldCharType="begin"/>
    </w:r>
    <w:r>
      <w:instrText xml:space="preserve"> FILENAME   \* MERGEFORMAT </w:instrText>
    </w:r>
    <w:r>
      <w:fldChar w:fldCharType="separate"/>
    </w:r>
    <w:r>
      <w:rPr>
        <w:noProof/>
      </w:rPr>
      <w:t>CR1409_BoE_Income_Statement_v2.docx</w:t>
    </w:r>
    <w:r>
      <w:rPr>
        <w:noProof/>
      </w:rPr>
      <w:fldChar w:fldCharType="end"/>
    </w:r>
    <w:r w:rsidR="00567F13">
      <w:tab/>
      <w:t>Produced by</w:t>
    </w:r>
    <w:r w:rsidR="00D178A5">
      <w:t xml:space="preserve"> Bank of England</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396B" w14:textId="77777777" w:rsidR="00DF192F" w:rsidRDefault="00DF192F">
      <w:r>
        <w:separator/>
      </w:r>
    </w:p>
  </w:footnote>
  <w:footnote w:type="continuationSeparator" w:id="0">
    <w:p w14:paraId="2C8044B2" w14:textId="77777777" w:rsidR="00DF192F" w:rsidRDefault="00DF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1948A8C0" w:rsidR="00E74C04" w:rsidRPr="00801493" w:rsidRDefault="00801493">
    <w:pPr>
      <w:pStyle w:val="Header"/>
      <w:rPr>
        <w:lang w:val="fr-BE"/>
      </w:rPr>
    </w:pPr>
    <w:r>
      <w:rPr>
        <w:lang w:val="fr-BE"/>
      </w:rPr>
      <w:t xml:space="preserve">RA ID : </w:t>
    </w:r>
    <w:r w:rsidR="00D178A5">
      <w:rPr>
        <w:lang w:val="fr-BE"/>
      </w:rPr>
      <w:t>CR1409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5"/>
  </w:num>
  <w:num w:numId="6" w16cid:durableId="1944336248">
    <w:abstractNumId w:val="8"/>
  </w:num>
  <w:num w:numId="7" w16cid:durableId="728386006">
    <w:abstractNumId w:val="11"/>
  </w:num>
  <w:num w:numId="8" w16cid:durableId="1187863317">
    <w:abstractNumId w:val="9"/>
  </w:num>
  <w:num w:numId="9" w16cid:durableId="1549537704">
    <w:abstractNumId w:val="14"/>
  </w:num>
  <w:num w:numId="10" w16cid:durableId="2044745797">
    <w:abstractNumId w:val="5"/>
  </w:num>
  <w:num w:numId="11" w16cid:durableId="170728363">
    <w:abstractNumId w:val="7"/>
  </w:num>
  <w:num w:numId="12" w16cid:durableId="1179153660">
    <w:abstractNumId w:val="10"/>
  </w:num>
  <w:num w:numId="13" w16cid:durableId="800684503">
    <w:abstractNumId w:val="4"/>
  </w:num>
  <w:num w:numId="14" w16cid:durableId="206526256">
    <w:abstractNumId w:val="6"/>
  </w:num>
  <w:num w:numId="15" w16cid:durableId="1886671329">
    <w:abstractNumId w:val="13"/>
  </w:num>
  <w:num w:numId="16" w16cid:durableId="222108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2701C"/>
    <w:rsid w:val="00130EB9"/>
    <w:rsid w:val="0014379C"/>
    <w:rsid w:val="00153ED1"/>
    <w:rsid w:val="00163DB3"/>
    <w:rsid w:val="001653F7"/>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042B8"/>
    <w:rsid w:val="00316F04"/>
    <w:rsid w:val="00320A89"/>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D0B29"/>
    <w:rsid w:val="004E1F21"/>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410C"/>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A02BC"/>
    <w:rsid w:val="006A7B96"/>
    <w:rsid w:val="006B20DC"/>
    <w:rsid w:val="006D4A37"/>
    <w:rsid w:val="006E2522"/>
    <w:rsid w:val="006E3DEC"/>
    <w:rsid w:val="00706604"/>
    <w:rsid w:val="007118C4"/>
    <w:rsid w:val="00723DE0"/>
    <w:rsid w:val="00732595"/>
    <w:rsid w:val="0074349F"/>
    <w:rsid w:val="0075466C"/>
    <w:rsid w:val="00774921"/>
    <w:rsid w:val="00780203"/>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79BF"/>
    <w:rsid w:val="00937D26"/>
    <w:rsid w:val="00951C86"/>
    <w:rsid w:val="00956D7A"/>
    <w:rsid w:val="00965199"/>
    <w:rsid w:val="00966046"/>
    <w:rsid w:val="009770EE"/>
    <w:rsid w:val="009C1445"/>
    <w:rsid w:val="009F5F76"/>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BE08F2"/>
    <w:rsid w:val="00C06496"/>
    <w:rsid w:val="00C122AE"/>
    <w:rsid w:val="00C17665"/>
    <w:rsid w:val="00C32DF8"/>
    <w:rsid w:val="00C40729"/>
    <w:rsid w:val="00C41DDB"/>
    <w:rsid w:val="00C46C5A"/>
    <w:rsid w:val="00C52ABE"/>
    <w:rsid w:val="00C55C02"/>
    <w:rsid w:val="00C656B1"/>
    <w:rsid w:val="00C7056E"/>
    <w:rsid w:val="00CB683A"/>
    <w:rsid w:val="00CB7C2C"/>
    <w:rsid w:val="00CC062F"/>
    <w:rsid w:val="00CC1768"/>
    <w:rsid w:val="00CC68E1"/>
    <w:rsid w:val="00CD0745"/>
    <w:rsid w:val="00CD363B"/>
    <w:rsid w:val="00CD3C90"/>
    <w:rsid w:val="00CD59B1"/>
    <w:rsid w:val="00CF098A"/>
    <w:rsid w:val="00CF3041"/>
    <w:rsid w:val="00D123C1"/>
    <w:rsid w:val="00D178A5"/>
    <w:rsid w:val="00D234FD"/>
    <w:rsid w:val="00D2600B"/>
    <w:rsid w:val="00D51B61"/>
    <w:rsid w:val="00D56571"/>
    <w:rsid w:val="00D67DE0"/>
    <w:rsid w:val="00D73E09"/>
    <w:rsid w:val="00D74F66"/>
    <w:rsid w:val="00D82FBD"/>
    <w:rsid w:val="00D9338F"/>
    <w:rsid w:val="00D9582C"/>
    <w:rsid w:val="00DA043A"/>
    <w:rsid w:val="00DA116C"/>
    <w:rsid w:val="00DA22C9"/>
    <w:rsid w:val="00DB419A"/>
    <w:rsid w:val="00DC195F"/>
    <w:rsid w:val="00DC68D5"/>
    <w:rsid w:val="00DD37B4"/>
    <w:rsid w:val="00DD422D"/>
    <w:rsid w:val="00DF192F"/>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uiPriority w:val="99"/>
    <w:semiHidden/>
    <w:unhideWhenUsed/>
    <w:rsid w:val="00165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5321">
      <w:bodyDiv w:val="1"/>
      <w:marLeft w:val="0"/>
      <w:marRight w:val="0"/>
      <w:marTop w:val="0"/>
      <w:marBottom w:val="0"/>
      <w:divBdr>
        <w:top w:val="none" w:sz="0" w:space="0" w:color="auto"/>
        <w:left w:val="none" w:sz="0" w:space="0" w:color="auto"/>
        <w:bottom w:val="none" w:sz="0" w:space="0" w:color="auto"/>
        <w:right w:val="none" w:sz="0" w:space="0" w:color="auto"/>
      </w:divBdr>
    </w:div>
    <w:div w:id="12478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20022.org/catalogue_of_messages.p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hn.aveson@bankofengland.co.uk"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6766</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2024-07-05T13:58:00Z</dcterms:created>
  <dcterms:modified xsi:type="dcterms:W3CDTF">2024-07-05T13:58:00Z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