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E7AA8D3" w:rsidR="00577BCC" w:rsidRDefault="00DD37B4" w:rsidP="00865C2F">
      <w:pPr>
        <w:rPr>
          <w:i/>
          <w:szCs w:val="24"/>
          <w:lang w:val="en-GB"/>
        </w:rPr>
      </w:pPr>
      <w:r>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6B09AAE1" w14:textId="77777777" w:rsidR="00D567CB" w:rsidRDefault="00D567CB" w:rsidP="00D567CB">
      <w:pPr>
        <w:ind w:left="-142"/>
        <w:jc w:val="both"/>
        <w:rPr>
          <w:szCs w:val="24"/>
          <w:lang w:val="en-GB"/>
        </w:rPr>
      </w:pPr>
      <w:r w:rsidRPr="008438AF">
        <w:rPr>
          <w:i/>
          <w:szCs w:val="24"/>
          <w:lang w:val="en-GB"/>
        </w:rPr>
        <w:t>A.1 Submitter</w:t>
      </w:r>
      <w:r>
        <w:rPr>
          <w:szCs w:val="24"/>
          <w:lang w:val="en-GB"/>
        </w:rPr>
        <w:t xml:space="preserve">: </w:t>
      </w:r>
    </w:p>
    <w:p w14:paraId="6CED591F" w14:textId="77777777" w:rsidR="00D567CB" w:rsidRPr="007A4EF4" w:rsidRDefault="00D567CB" w:rsidP="00D567CB">
      <w:pPr>
        <w:ind w:left="-142"/>
        <w:jc w:val="both"/>
        <w:rPr>
          <w:lang w:val="en-GB"/>
        </w:rPr>
      </w:pPr>
      <w:r w:rsidRPr="007A4EF4">
        <w:rPr>
          <w:lang w:val="en-GB"/>
        </w:rPr>
        <w:t xml:space="preserve">Deutsche Bundesbank, on behalf of the </w:t>
      </w:r>
      <w:proofErr w:type="spellStart"/>
      <w:r w:rsidRPr="007A4EF4">
        <w:rPr>
          <w:lang w:val="en-GB"/>
        </w:rPr>
        <w:t>Eurosystem</w:t>
      </w:r>
      <w:proofErr w:type="spellEnd"/>
    </w:p>
    <w:p w14:paraId="6880DCF1" w14:textId="77777777" w:rsidR="00D567CB" w:rsidRPr="00D567CB" w:rsidRDefault="00D567CB" w:rsidP="00D567CB">
      <w:pPr>
        <w:ind w:left="-142"/>
        <w:jc w:val="both"/>
        <w:rPr>
          <w:color w:val="4F81BD"/>
          <w:lang w:val="de-DE"/>
        </w:rPr>
      </w:pPr>
      <w:r w:rsidRPr="00D567CB">
        <w:rPr>
          <w:i/>
          <w:szCs w:val="24"/>
          <w:lang w:val="de-DE"/>
        </w:rPr>
        <w:t>A.2 Contact person:</w:t>
      </w:r>
      <w:r w:rsidRPr="00D567CB">
        <w:rPr>
          <w:color w:val="4F81BD"/>
          <w:lang w:val="de-DE"/>
        </w:rPr>
        <w:t xml:space="preserve"> </w:t>
      </w:r>
    </w:p>
    <w:p w14:paraId="32A8EBEF" w14:textId="77777777" w:rsidR="00D567CB" w:rsidRPr="00842F76" w:rsidRDefault="00D567CB" w:rsidP="00D567CB">
      <w:pPr>
        <w:ind w:left="-142"/>
        <w:jc w:val="both"/>
        <w:rPr>
          <w:lang w:val="de-DE"/>
        </w:rPr>
      </w:pPr>
      <w:r w:rsidRPr="00842F76">
        <w:rPr>
          <w:lang w:val="de-DE"/>
        </w:rPr>
        <w:t>Steffen Fährmann,</w:t>
      </w:r>
      <w:r w:rsidRPr="00842F76">
        <w:rPr>
          <w:szCs w:val="24"/>
          <w:lang w:val="de-DE"/>
        </w:rPr>
        <w:t xml:space="preserve"> </w:t>
      </w:r>
      <w:hyperlink r:id="rId8" w:history="1">
        <w:r w:rsidRPr="00842F76">
          <w:rPr>
            <w:rStyle w:val="Hyperlink"/>
            <w:lang w:val="de-DE"/>
          </w:rPr>
          <w:t>steffen.faehrmann@bundesbank.de</w:t>
        </w:r>
      </w:hyperlink>
      <w:r w:rsidRPr="00842F76">
        <w:rPr>
          <w:lang w:val="de-DE"/>
        </w:rPr>
        <w:t>, +49 171 9244421</w:t>
      </w:r>
    </w:p>
    <w:p w14:paraId="156FF642" w14:textId="77777777" w:rsidR="00D567CB" w:rsidRDefault="00D567CB" w:rsidP="00D567CB">
      <w:pPr>
        <w:ind w:left="-142"/>
        <w:jc w:val="both"/>
        <w:rPr>
          <w:lang w:val="de-DE"/>
        </w:rPr>
      </w:pPr>
      <w:r>
        <w:rPr>
          <w:lang w:val="de-DE"/>
        </w:rPr>
        <w:t xml:space="preserve">Stéphanie Radet, </w:t>
      </w:r>
      <w:hyperlink r:id="rId9" w:history="1">
        <w:r w:rsidRPr="00E4105D">
          <w:rPr>
            <w:rStyle w:val="Hyperlink"/>
            <w:lang w:val="de-DE"/>
          </w:rPr>
          <w:t>stephanie.radet@bundesbank.de</w:t>
        </w:r>
      </w:hyperlink>
      <w:r>
        <w:rPr>
          <w:lang w:val="de-DE"/>
        </w:rPr>
        <w:t xml:space="preserve">, </w:t>
      </w:r>
      <w:r w:rsidRPr="00842F76">
        <w:rPr>
          <w:lang w:val="de-DE"/>
        </w:rPr>
        <w:t>+49 69 9566-33528</w:t>
      </w:r>
    </w:p>
    <w:p w14:paraId="034711EE" w14:textId="77777777" w:rsidR="00D567CB" w:rsidRPr="00D567CB" w:rsidRDefault="00A31AF8" w:rsidP="00D567CB">
      <w:pPr>
        <w:ind w:left="-142"/>
        <w:jc w:val="both"/>
        <w:rPr>
          <w:lang w:val="en-GB"/>
        </w:rPr>
      </w:pPr>
      <w:hyperlink r:id="rId10" w:history="1">
        <w:r w:rsidR="00D567CB" w:rsidRPr="00D567CB">
          <w:rPr>
            <w:rStyle w:val="Hyperlink"/>
            <w:lang w:val="en-GB"/>
          </w:rPr>
          <w:t>evolution.emip@bundesbank.de</w:t>
        </w:r>
      </w:hyperlink>
      <w:r w:rsidR="00D567CB" w:rsidRPr="00D567CB">
        <w:rPr>
          <w:lang w:val="en-GB"/>
        </w:rPr>
        <w:t xml:space="preserve"> </w:t>
      </w:r>
    </w:p>
    <w:p w14:paraId="588783AB" w14:textId="77777777" w:rsidR="00D567CB" w:rsidRDefault="00D567CB" w:rsidP="00D567CB">
      <w:pPr>
        <w:ind w:left="-142"/>
        <w:jc w:val="both"/>
        <w:rPr>
          <w:szCs w:val="24"/>
          <w:lang w:val="en-GB"/>
        </w:rPr>
      </w:pPr>
      <w:r w:rsidRPr="00D567CB">
        <w:rPr>
          <w:i/>
          <w:szCs w:val="24"/>
          <w:lang w:val="en-GB"/>
        </w:rPr>
        <w:t xml:space="preserve"> </w:t>
      </w:r>
      <w:r w:rsidRPr="008438AF">
        <w:rPr>
          <w:i/>
          <w:szCs w:val="24"/>
          <w:lang w:val="en-GB"/>
        </w:rPr>
        <w:t>A.</w:t>
      </w:r>
      <w:r>
        <w:rPr>
          <w:i/>
          <w:szCs w:val="24"/>
          <w:lang w:val="en-GB"/>
        </w:rPr>
        <w:t>3</w:t>
      </w:r>
      <w:r w:rsidRPr="008438AF">
        <w:rPr>
          <w:i/>
          <w:szCs w:val="24"/>
          <w:lang w:val="en-GB"/>
        </w:rPr>
        <w:t xml:space="preserve"> Sponsors</w:t>
      </w:r>
      <w:r w:rsidRPr="008438AF">
        <w:rPr>
          <w:szCs w:val="24"/>
          <w:lang w:val="en-GB"/>
        </w:rPr>
        <w:t>:</w:t>
      </w:r>
      <w:r>
        <w:rPr>
          <w:szCs w:val="24"/>
          <w:lang w:val="en-GB"/>
        </w:rPr>
        <w:t xml:space="preserve"> </w:t>
      </w:r>
    </w:p>
    <w:p w14:paraId="61D31768" w14:textId="25DCAF71" w:rsidR="00D567CB" w:rsidRDefault="00D567CB" w:rsidP="00D567CB">
      <w:pPr>
        <w:ind w:left="-142"/>
        <w:jc w:val="both"/>
        <w:rPr>
          <w:lang w:val="en-GB"/>
        </w:rPr>
      </w:pPr>
      <w:r w:rsidRPr="00A7081B">
        <w:rPr>
          <w:lang w:val="en-GB"/>
        </w:rPr>
        <w:t xml:space="preserve">The banking community of </w:t>
      </w:r>
      <w:r>
        <w:rPr>
          <w:lang w:val="en-GB"/>
        </w:rPr>
        <w:t>T2</w:t>
      </w:r>
      <w:r w:rsidRPr="00A7081B">
        <w:rPr>
          <w:lang w:val="en-GB"/>
        </w:rPr>
        <w:t xml:space="preserve"> (</w:t>
      </w:r>
      <w:proofErr w:type="spellStart"/>
      <w:r w:rsidRPr="00A7081B">
        <w:rPr>
          <w:lang w:val="en-GB"/>
        </w:rPr>
        <w:t>Eurosystems</w:t>
      </w:r>
      <w:proofErr w:type="spellEnd"/>
      <w:r w:rsidRPr="00A7081B">
        <w:rPr>
          <w:lang w:val="en-GB"/>
        </w:rPr>
        <w:t>’ Market Infrastructures Platform)</w:t>
      </w:r>
    </w:p>
    <w:p w14:paraId="1E434111" w14:textId="77777777" w:rsidR="00D567CB" w:rsidRPr="00A7081B" w:rsidRDefault="00D567CB" w:rsidP="00D567CB">
      <w:pPr>
        <w:ind w:left="-142"/>
        <w:jc w:val="both"/>
        <w:rPr>
          <w:lang w:val="en-GB"/>
        </w:rPr>
      </w:pPr>
    </w:p>
    <w:p w14:paraId="2BAA270D" w14:textId="754EE7F7" w:rsidR="00D567CB" w:rsidRDefault="00854FA6" w:rsidP="00D567CB">
      <w:pPr>
        <w:numPr>
          <w:ilvl w:val="0"/>
          <w:numId w:val="6"/>
        </w:numPr>
        <w:rPr>
          <w:b/>
          <w:lang w:val="en-GB"/>
        </w:rPr>
      </w:pPr>
      <w:r>
        <w:rPr>
          <w:b/>
          <w:lang w:val="en-GB"/>
        </w:rPr>
        <w:t>Related m</w:t>
      </w:r>
      <w:r w:rsidRPr="00451986">
        <w:rPr>
          <w:b/>
          <w:lang w:val="en-GB"/>
        </w:rPr>
        <w:t>essages:</w:t>
      </w:r>
    </w:p>
    <w:p w14:paraId="1942D38F" w14:textId="77777777" w:rsidR="00D567CB" w:rsidRPr="00CE7853" w:rsidRDefault="00D567CB" w:rsidP="00D567CB">
      <w:pPr>
        <w:rPr>
          <w:lang w:val="en-GB"/>
        </w:rPr>
      </w:pPr>
      <w:r w:rsidRPr="00CE7853">
        <w:rPr>
          <w:lang w:val="en-GB"/>
        </w:rPr>
        <w:t>Bank To Customer Account Report V12 (camt.052.001.12)</w:t>
      </w:r>
    </w:p>
    <w:p w14:paraId="33BAE5CD" w14:textId="77777777" w:rsidR="00D567CB" w:rsidRPr="00CE7853" w:rsidRDefault="00D567CB" w:rsidP="00D567CB">
      <w:pPr>
        <w:rPr>
          <w:lang w:val="en-GB"/>
        </w:rPr>
      </w:pPr>
      <w:r w:rsidRPr="00CE7853">
        <w:rPr>
          <w:lang w:val="en-GB"/>
        </w:rPr>
        <w:t>Bank To Customer Statement V12 (camt.053.001.12)</w:t>
      </w:r>
    </w:p>
    <w:p w14:paraId="240EB394" w14:textId="77777777" w:rsidR="00D567CB" w:rsidRPr="00CE7853" w:rsidRDefault="00D567CB" w:rsidP="00D567CB">
      <w:pPr>
        <w:rPr>
          <w:lang w:val="en-GB"/>
        </w:rPr>
      </w:pPr>
      <w:r w:rsidRPr="00CE7853">
        <w:rPr>
          <w:lang w:val="en-GB"/>
        </w:rPr>
        <w:t>Bank To Customer Debit Credit Notification V12 (camt.054.001.12)</w:t>
      </w:r>
    </w:p>
    <w:p w14:paraId="630C00E4" w14:textId="77777777" w:rsidR="00D567CB" w:rsidRPr="00451986" w:rsidRDefault="00D567CB" w:rsidP="00D567CB">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04602603" w14:textId="77777777" w:rsidR="00D567CB" w:rsidRDefault="00D567CB" w:rsidP="00D567CB">
      <w:pPr>
        <w:rPr>
          <w:lang w:val="en-GB"/>
        </w:rPr>
      </w:pPr>
      <w:r>
        <w:rPr>
          <w:lang w:val="en-GB"/>
        </w:rPr>
        <w:t>Similar to the camt.006 Return Transaction, we would like to see Instruction Copy added to the reporting messages.</w:t>
      </w:r>
    </w:p>
    <w:p w14:paraId="779EE3C7" w14:textId="77777777" w:rsidR="00D567CB" w:rsidRDefault="00D567CB" w:rsidP="00D567CB">
      <w:pPr>
        <w:pStyle w:val="ListParagraph"/>
        <w:numPr>
          <w:ilvl w:val="0"/>
          <w:numId w:val="17"/>
        </w:numPr>
        <w:rPr>
          <w:lang w:val="en-GB"/>
        </w:rPr>
      </w:pPr>
      <w:r w:rsidRPr="00CE7853">
        <w:rPr>
          <w:lang w:val="en-GB"/>
        </w:rPr>
        <w:t>Element Name: &lt;Instruction Copy&gt;</w:t>
      </w:r>
    </w:p>
    <w:p w14:paraId="25954D52" w14:textId="77777777" w:rsidR="00D567CB" w:rsidRPr="00CE7853" w:rsidRDefault="00D567CB" w:rsidP="00D567CB">
      <w:pPr>
        <w:pStyle w:val="ListParagraph"/>
        <w:numPr>
          <w:ilvl w:val="0"/>
          <w:numId w:val="17"/>
        </w:numPr>
        <w:rPr>
          <w:lang w:val="en-GB"/>
        </w:rPr>
      </w:pPr>
      <w:r>
        <w:rPr>
          <w:lang w:val="en-GB"/>
        </w:rPr>
        <w:t>Multiplicity: [0..1]</w:t>
      </w:r>
    </w:p>
    <w:p w14:paraId="6BC3F85C" w14:textId="77777777" w:rsidR="00D567CB" w:rsidRPr="00D75CFA" w:rsidRDefault="00D567CB" w:rsidP="00D567CB">
      <w:pPr>
        <w:pStyle w:val="ListParagraph"/>
        <w:numPr>
          <w:ilvl w:val="0"/>
          <w:numId w:val="17"/>
        </w:numPr>
        <w:autoSpaceDE w:val="0"/>
        <w:autoSpaceDN w:val="0"/>
        <w:adjustRightInd w:val="0"/>
        <w:spacing w:before="0"/>
        <w:rPr>
          <w:lang w:val="en-GB"/>
        </w:rPr>
      </w:pPr>
      <w:r w:rsidRPr="00CE7853">
        <w:rPr>
          <w:lang w:val="en-GB"/>
        </w:rPr>
        <w:t xml:space="preserve">Datatype: Max20000Text (based on string), </w:t>
      </w:r>
      <w:proofErr w:type="spellStart"/>
      <w:r w:rsidRPr="00CE7853">
        <w:rPr>
          <w:lang w:val="en-GB"/>
        </w:rPr>
        <w:t>minLength</w:t>
      </w:r>
      <w:proofErr w:type="spellEnd"/>
      <w:r w:rsidRPr="00CE7853">
        <w:rPr>
          <w:lang w:val="en-GB"/>
        </w:rPr>
        <w:t xml:space="preserve">: 1, </w:t>
      </w:r>
      <w:proofErr w:type="spellStart"/>
      <w:r w:rsidRPr="00CE7853">
        <w:rPr>
          <w:lang w:val="en-GB"/>
        </w:rPr>
        <w:t>maxLength</w:t>
      </w:r>
      <w:proofErr w:type="spellEnd"/>
      <w:r w:rsidRPr="00CE7853">
        <w:rPr>
          <w:lang w:val="en-GB"/>
        </w:rPr>
        <w:t>: 20000</w:t>
      </w:r>
      <w:r>
        <w:rPr>
          <w:lang w:val="en-GB"/>
        </w:rPr>
        <w:t>.</w:t>
      </w:r>
    </w:p>
    <w:p w14:paraId="581BDCC1" w14:textId="77777777" w:rsidR="00D567CB" w:rsidRDefault="00D567CB" w:rsidP="00D567CB">
      <w:pPr>
        <w:pStyle w:val="ListParagraph"/>
        <w:numPr>
          <w:ilvl w:val="0"/>
          <w:numId w:val="17"/>
        </w:numPr>
        <w:rPr>
          <w:lang w:val="en-GB"/>
        </w:rPr>
      </w:pPr>
      <w:r w:rsidRPr="00CE7853">
        <w:rPr>
          <w:lang w:val="en-GB"/>
        </w:rPr>
        <w:t>Proposed definition: “Copy of the original instruction, in free form text.</w:t>
      </w:r>
    </w:p>
    <w:p w14:paraId="3FF0B15A" w14:textId="77777777" w:rsidR="00D567CB" w:rsidRDefault="00D567CB" w:rsidP="00D567CB">
      <w:pPr>
        <w:rPr>
          <w:lang w:val="en-GB"/>
        </w:rPr>
      </w:pPr>
    </w:p>
    <w:p w14:paraId="0FD0B05A" w14:textId="77777777" w:rsidR="00D567CB" w:rsidRPr="00713342" w:rsidRDefault="00D567CB" w:rsidP="00D567CB">
      <w:pPr>
        <w:rPr>
          <w:lang w:val="en-GB"/>
        </w:rPr>
      </w:pPr>
      <w:r>
        <w:rPr>
          <w:lang w:val="en-GB"/>
        </w:rPr>
        <w:t xml:space="preserve">Illustration with an extract from the camt.006.001.11, in which Instruction Copy is nested in Transaction  (see : </w:t>
      </w:r>
      <w:r w:rsidRPr="006538A7">
        <w:rPr>
          <w:lang w:val="en-GB"/>
        </w:rPr>
        <w:t>/</w:t>
      </w:r>
      <w:r w:rsidRPr="00495FE5">
        <w:rPr>
          <w:i/>
          <w:iCs/>
          <w:lang w:val="en-GB"/>
        </w:rPr>
        <w:t>Document/</w:t>
      </w:r>
      <w:proofErr w:type="spellStart"/>
      <w:r w:rsidRPr="00495FE5">
        <w:rPr>
          <w:i/>
          <w:iCs/>
          <w:lang w:val="en-GB"/>
        </w:rPr>
        <w:t>RtrTx</w:t>
      </w:r>
      <w:proofErr w:type="spellEnd"/>
      <w:r w:rsidRPr="00495FE5">
        <w:rPr>
          <w:i/>
          <w:iCs/>
          <w:lang w:val="en-GB"/>
        </w:rPr>
        <w:t>/</w:t>
      </w:r>
      <w:proofErr w:type="spellStart"/>
      <w:r w:rsidRPr="00495FE5">
        <w:rPr>
          <w:i/>
          <w:iCs/>
          <w:lang w:val="en-GB"/>
        </w:rPr>
        <w:t>RptOrErr</w:t>
      </w:r>
      <w:proofErr w:type="spellEnd"/>
      <w:r w:rsidRPr="00495FE5">
        <w:rPr>
          <w:i/>
          <w:iCs/>
          <w:lang w:val="en-GB"/>
        </w:rPr>
        <w:t>/</w:t>
      </w:r>
      <w:proofErr w:type="spellStart"/>
      <w:r w:rsidRPr="00495FE5">
        <w:rPr>
          <w:i/>
          <w:iCs/>
          <w:lang w:val="en-GB"/>
        </w:rPr>
        <w:t>BizRpt</w:t>
      </w:r>
      <w:proofErr w:type="spellEnd"/>
      <w:r w:rsidRPr="00495FE5">
        <w:rPr>
          <w:i/>
          <w:iCs/>
          <w:lang w:val="en-GB"/>
        </w:rPr>
        <w:t>/</w:t>
      </w:r>
      <w:proofErr w:type="spellStart"/>
      <w:r w:rsidRPr="00495FE5">
        <w:rPr>
          <w:i/>
          <w:iCs/>
          <w:lang w:val="en-GB"/>
        </w:rPr>
        <w:t>TxRpt</w:t>
      </w:r>
      <w:proofErr w:type="spellEnd"/>
      <w:r w:rsidRPr="00495FE5">
        <w:rPr>
          <w:i/>
          <w:iCs/>
          <w:lang w:val="en-GB"/>
        </w:rPr>
        <w:t>/</w:t>
      </w:r>
      <w:proofErr w:type="spellStart"/>
      <w:r w:rsidRPr="00495FE5">
        <w:rPr>
          <w:i/>
          <w:iCs/>
          <w:lang w:val="en-GB"/>
        </w:rPr>
        <w:t>TxOrErr</w:t>
      </w:r>
      <w:proofErr w:type="spellEnd"/>
      <w:r w:rsidRPr="00495FE5">
        <w:rPr>
          <w:i/>
          <w:iCs/>
          <w:lang w:val="en-GB"/>
        </w:rPr>
        <w:t>/Tx/</w:t>
      </w:r>
      <w:proofErr w:type="spellStart"/>
      <w:r w:rsidRPr="00495FE5">
        <w:rPr>
          <w:i/>
          <w:iCs/>
          <w:lang w:val="en-GB"/>
        </w:rPr>
        <w:t>Pmt</w:t>
      </w:r>
      <w:proofErr w:type="spellEnd"/>
      <w:r w:rsidRPr="00495FE5">
        <w:rPr>
          <w:i/>
          <w:iCs/>
          <w:lang w:val="en-GB"/>
        </w:rPr>
        <w:t>/</w:t>
      </w:r>
      <w:proofErr w:type="spellStart"/>
      <w:r w:rsidRPr="00495FE5">
        <w:rPr>
          <w:i/>
          <w:iCs/>
          <w:lang w:val="en-GB"/>
        </w:rPr>
        <w:t>InstrCpy</w:t>
      </w:r>
      <w:proofErr w:type="spellEnd"/>
      <w:r>
        <w:rPr>
          <w:lang w:val="en-GB"/>
        </w:rPr>
        <w:t>)</w:t>
      </w:r>
    </w:p>
    <w:p w14:paraId="540A1A53" w14:textId="7FB246EB" w:rsidR="00D567CB" w:rsidRPr="00D75CFA" w:rsidRDefault="00D567CB" w:rsidP="00D567CB">
      <w:pPr>
        <w:rPr>
          <w:lang w:val="en-GB"/>
        </w:rPr>
      </w:pPr>
      <w:r>
        <w:rPr>
          <w:noProof/>
          <w:lang w:val="de-DE" w:eastAsia="de-DE"/>
        </w:rPr>
        <w:lastRenderedPageBreak/>
        <mc:AlternateContent>
          <mc:Choice Requires="wps">
            <w:drawing>
              <wp:anchor distT="0" distB="0" distL="114300" distR="114300" simplePos="0" relativeHeight="251659264" behindDoc="0" locked="0" layoutInCell="1" allowOverlap="1" wp14:anchorId="7607AACA" wp14:editId="60AA48A8">
                <wp:simplePos x="0" y="0"/>
                <wp:positionH relativeFrom="column">
                  <wp:posOffset>3116580</wp:posOffset>
                </wp:positionH>
                <wp:positionV relativeFrom="paragraph">
                  <wp:posOffset>4286250</wp:posOffset>
                </wp:positionV>
                <wp:extent cx="790575" cy="276225"/>
                <wp:effectExtent l="19050" t="19050" r="952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762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7F8311" id="Rectangle 5" o:spid="_x0000_s1026" style="position:absolute;margin-left:245.4pt;margin-top:337.5pt;width:6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" filled="f" strokecolor="red" strokeweight="3pt">
                <v:path arrowok="t"/>
              </v:rect>
            </w:pict>
          </mc:Fallback>
        </mc:AlternateContent>
      </w:r>
      <w:r w:rsidRPr="00D567CB">
        <w:rPr>
          <w:noProof/>
          <w:lang w:val="de-DE" w:eastAsia="de-DE"/>
        </w:rPr>
        <w:drawing>
          <wp:inline distT="0" distB="0" distL="0" distR="0" wp14:anchorId="4F89FF64" wp14:editId="18BD74A2">
            <wp:extent cx="4438650" cy="7505700"/>
            <wp:effectExtent l="0" t="0" r="0" b="0"/>
            <wp:docPr id="2" name="Picture 3"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7505700"/>
                    </a:xfrm>
                    <a:prstGeom prst="rect">
                      <a:avLst/>
                    </a:prstGeom>
                    <a:noFill/>
                    <a:ln>
                      <a:noFill/>
                    </a:ln>
                  </pic:spPr>
                </pic:pic>
              </a:graphicData>
            </a:graphic>
          </wp:inline>
        </w:drawing>
      </w:r>
    </w:p>
    <w:p w14:paraId="22A0D3BF" w14:textId="77777777" w:rsidR="00D567CB" w:rsidRDefault="00D567CB" w:rsidP="00D567CB">
      <w:pPr>
        <w:rPr>
          <w:color w:val="4F81BD"/>
          <w:lang w:val="en-GB"/>
        </w:rPr>
      </w:pPr>
    </w:p>
    <w:p w14:paraId="0EE807F4" w14:textId="3F4747B1" w:rsidR="00D567CB" w:rsidRPr="00F85F46" w:rsidRDefault="00D567CB" w:rsidP="00D567CB">
      <w:pPr>
        <w:rPr>
          <w:lang w:val="en-GB"/>
        </w:rPr>
      </w:pPr>
      <w:r w:rsidRPr="00F85F46">
        <w:rPr>
          <w:lang w:val="en-GB"/>
        </w:rPr>
        <w:t xml:space="preserve">In </w:t>
      </w:r>
      <w:r>
        <w:rPr>
          <w:lang w:val="en-GB"/>
        </w:rPr>
        <w:t>all three messages</w:t>
      </w:r>
      <w:r w:rsidRPr="00F85F46">
        <w:rPr>
          <w:lang w:val="en-GB"/>
        </w:rPr>
        <w:t xml:space="preserve">, Instruction Copy could be included in </w:t>
      </w:r>
      <w:r>
        <w:rPr>
          <w:lang w:val="en-GB"/>
        </w:rPr>
        <w:t>“</w:t>
      </w:r>
      <w:r w:rsidRPr="00F85F46">
        <w:rPr>
          <w:lang w:val="en-GB"/>
        </w:rPr>
        <w:t>Entry Transaction</w:t>
      </w:r>
      <w:r>
        <w:rPr>
          <w:lang w:val="en-GB"/>
        </w:rPr>
        <w:t xml:space="preserve">” </w:t>
      </w:r>
      <w:r w:rsidRPr="00F85F46">
        <w:rPr>
          <w:lang w:val="en-GB"/>
        </w:rPr>
        <w:t>(see illustration below)</w:t>
      </w:r>
      <w:r>
        <w:rPr>
          <w:lang w:val="en-GB"/>
        </w:rPr>
        <w:t>.</w:t>
      </w:r>
    </w:p>
    <w:p w14:paraId="7685CCA4" w14:textId="61B27C58" w:rsidR="00D567CB" w:rsidRPr="00D15731" w:rsidRDefault="00D567CB" w:rsidP="00D567CB">
      <w:pPr>
        <w:rPr>
          <w:color w:val="4F81BD"/>
          <w:lang w:val="en-GB"/>
        </w:rPr>
      </w:pPr>
      <w:r>
        <w:rPr>
          <w:lang w:val="en-GB"/>
        </w:rPr>
        <w:lastRenderedPageBreak/>
        <w:t>The</w:t>
      </w:r>
      <w:r w:rsidRPr="00F85F46">
        <w:rPr>
          <w:lang w:val="en-GB"/>
        </w:rPr>
        <w:t xml:space="preserve"> camt.052/053/054 are </w:t>
      </w:r>
      <w:r>
        <w:rPr>
          <w:lang w:val="en-GB"/>
        </w:rPr>
        <w:t xml:space="preserve">not only </w:t>
      </w:r>
      <w:r w:rsidR="00B43BCC">
        <w:rPr>
          <w:lang w:val="en-GB"/>
        </w:rPr>
        <w:t>used by</w:t>
      </w:r>
      <w:r w:rsidRPr="00F85F46">
        <w:rPr>
          <w:lang w:val="en-GB"/>
        </w:rPr>
        <w:t xml:space="preserve"> </w:t>
      </w:r>
      <w:r w:rsidR="00854281">
        <w:rPr>
          <w:lang w:val="en-GB"/>
        </w:rPr>
        <w:t>Corporates</w:t>
      </w:r>
      <w:r>
        <w:rPr>
          <w:lang w:val="en-GB"/>
        </w:rPr>
        <w:t xml:space="preserve"> and banks</w:t>
      </w:r>
      <w:r w:rsidRPr="00F85F46">
        <w:rPr>
          <w:lang w:val="en-GB"/>
        </w:rPr>
        <w:t xml:space="preserve">, </w:t>
      </w:r>
      <w:r>
        <w:rPr>
          <w:lang w:val="en-GB"/>
        </w:rPr>
        <w:t>but also by</w:t>
      </w:r>
      <w:r w:rsidRPr="00F85F46">
        <w:rPr>
          <w:lang w:val="en-GB"/>
        </w:rPr>
        <w:t xml:space="preserve"> Global Custodians and investment managers</w:t>
      </w:r>
      <w:r>
        <w:rPr>
          <w:lang w:val="en-GB"/>
        </w:rPr>
        <w:t>, who could also benefit from the addition of</w:t>
      </w:r>
      <w:r w:rsidRPr="00F85F46">
        <w:rPr>
          <w:lang w:val="en-GB"/>
        </w:rPr>
        <w:t xml:space="preserve"> the Instruction Copy element towards the end of </w:t>
      </w:r>
      <w:r>
        <w:rPr>
          <w:lang w:val="en-GB"/>
        </w:rPr>
        <w:t>the message, close to “Additional transaction Information”.</w:t>
      </w:r>
    </w:p>
    <w:p w14:paraId="0608A7D8" w14:textId="77777777" w:rsidR="00D567CB" w:rsidRDefault="00D567CB" w:rsidP="00D567CB">
      <w:pPr>
        <w:rPr>
          <w:color w:val="4F81BD"/>
          <w:lang w:val="en-GB"/>
        </w:rPr>
      </w:pPr>
    </w:p>
    <w:p w14:paraId="151BAB1D" w14:textId="5D6AA422" w:rsidR="00D567CB" w:rsidRDefault="00D567CB" w:rsidP="00D567CB">
      <w:pPr>
        <w:rPr>
          <w:color w:val="4F81BD"/>
          <w:lang w:val="en-GB"/>
        </w:rPr>
      </w:pPr>
      <w:r>
        <w:rPr>
          <w:noProof/>
          <w:lang w:val="de-DE" w:eastAsia="de-DE"/>
        </w:rPr>
        <mc:AlternateContent>
          <mc:Choice Requires="wps">
            <w:drawing>
              <wp:anchor distT="0" distB="0" distL="114300" distR="114300" simplePos="0" relativeHeight="251660288" behindDoc="0" locked="0" layoutInCell="1" allowOverlap="1" wp14:anchorId="267D712B" wp14:editId="0A078449">
                <wp:simplePos x="0" y="0"/>
                <wp:positionH relativeFrom="column">
                  <wp:posOffset>1287780</wp:posOffset>
                </wp:positionH>
                <wp:positionV relativeFrom="paragraph">
                  <wp:posOffset>6763385</wp:posOffset>
                </wp:positionV>
                <wp:extent cx="1295400" cy="6096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60960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B87A6" id="Rectangle 8" o:spid="_x0000_s1026" style="position:absolute;margin-left:101.4pt;margin-top:532.55pt;width:102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" filled="f" strokecolor="red" strokeweight="1pt">
                <v:path arrowok="t"/>
              </v:rect>
            </w:pict>
          </mc:Fallback>
        </mc:AlternateContent>
      </w:r>
      <w:r w:rsidRPr="00D567CB">
        <w:rPr>
          <w:noProof/>
          <w:color w:val="4F81BD"/>
          <w:lang w:val="de-DE" w:eastAsia="de-DE"/>
        </w:rPr>
        <w:drawing>
          <wp:inline distT="0" distB="0" distL="0" distR="0" wp14:anchorId="426D1AAD" wp14:editId="5B32A8A3">
            <wp:extent cx="2619375" cy="732472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b="2455"/>
                    <a:stretch>
                      <a:fillRect/>
                    </a:stretch>
                  </pic:blipFill>
                  <pic:spPr bwMode="auto">
                    <a:xfrm>
                      <a:off x="0" y="0"/>
                      <a:ext cx="2619375" cy="7324725"/>
                    </a:xfrm>
                    <a:prstGeom prst="rect">
                      <a:avLst/>
                    </a:prstGeom>
                    <a:noFill/>
                    <a:ln>
                      <a:noFill/>
                    </a:ln>
                  </pic:spPr>
                </pic:pic>
              </a:graphicData>
            </a:graphic>
          </wp:inline>
        </w:drawing>
      </w: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427646E3" w14:textId="77777777" w:rsidR="00D567CB" w:rsidRDefault="00D567CB" w:rsidP="00D567CB">
      <w:pPr>
        <w:rPr>
          <w:szCs w:val="24"/>
          <w:lang w:val="en-GB"/>
        </w:rPr>
      </w:pPr>
      <w:r w:rsidRPr="00845DEC">
        <w:rPr>
          <w:szCs w:val="24"/>
          <w:lang w:val="en-GB"/>
        </w:rPr>
        <w:t xml:space="preserve">The camt.052, camt.053 and camt.054 </w:t>
      </w:r>
      <w:r>
        <w:rPr>
          <w:szCs w:val="24"/>
          <w:lang w:val="en-GB"/>
        </w:rPr>
        <w:t xml:space="preserve">aim to </w:t>
      </w:r>
      <w:r w:rsidRPr="00845DEC">
        <w:rPr>
          <w:szCs w:val="24"/>
          <w:lang w:val="en-GB"/>
        </w:rPr>
        <w:t>provide information for cash management and/or reconciliation. They can include details of underlying transactions that have been included in the entry.</w:t>
      </w:r>
      <w:r>
        <w:rPr>
          <w:szCs w:val="24"/>
          <w:lang w:val="en-GB"/>
        </w:rPr>
        <w:t xml:space="preserve"> </w:t>
      </w:r>
    </w:p>
    <w:p w14:paraId="4E8A3E11" w14:textId="77777777" w:rsidR="00D567CB" w:rsidRDefault="00D567CB" w:rsidP="00D567CB">
      <w:pPr>
        <w:rPr>
          <w:szCs w:val="24"/>
          <w:lang w:val="en-GB"/>
        </w:rPr>
      </w:pPr>
      <w:r>
        <w:rPr>
          <w:szCs w:val="24"/>
          <w:lang w:val="en-GB"/>
        </w:rPr>
        <w:t xml:space="preserve">Similarly, the camt.006 </w:t>
      </w:r>
      <w:proofErr w:type="spellStart"/>
      <w:r>
        <w:rPr>
          <w:szCs w:val="24"/>
          <w:lang w:val="en-GB"/>
        </w:rPr>
        <w:t>ReturnTransaction</w:t>
      </w:r>
      <w:proofErr w:type="spellEnd"/>
      <w:r>
        <w:rPr>
          <w:szCs w:val="24"/>
          <w:lang w:val="en-GB"/>
        </w:rPr>
        <w:t xml:space="preserve"> provides </w:t>
      </w:r>
      <w:r w:rsidRPr="005F0D77">
        <w:rPr>
          <w:szCs w:val="24"/>
          <w:lang w:val="en-GB"/>
        </w:rPr>
        <w:t>details of underlying transactions</w:t>
      </w:r>
      <w:r>
        <w:rPr>
          <w:szCs w:val="24"/>
          <w:lang w:val="en-GB"/>
        </w:rPr>
        <w:t xml:space="preserve"> with</w:t>
      </w:r>
      <w:r w:rsidRPr="005F0D77">
        <w:rPr>
          <w:szCs w:val="24"/>
          <w:lang w:val="en-GB"/>
        </w:rPr>
        <w:t xml:space="preserve"> the transaction administrator.</w:t>
      </w:r>
      <w:r>
        <w:rPr>
          <w:szCs w:val="24"/>
          <w:lang w:val="en-GB"/>
        </w:rPr>
        <w:t xml:space="preserve"> But in addition to elements such as transaction references and agents/parties present in the camt.052/053 and 054, the camt.006 also enables the inclusion of the underlying transaction in element &lt;</w:t>
      </w:r>
      <w:proofErr w:type="spellStart"/>
      <w:r>
        <w:rPr>
          <w:szCs w:val="24"/>
          <w:lang w:val="en-GB"/>
        </w:rPr>
        <w:t>InstructionCopy</w:t>
      </w:r>
      <w:proofErr w:type="spellEnd"/>
      <w:r>
        <w:rPr>
          <w:szCs w:val="24"/>
          <w:lang w:val="en-GB"/>
        </w:rPr>
        <w:t xml:space="preserve">&gt; and some of those transactions may not have been </w:t>
      </w:r>
      <w:r w:rsidRPr="00FD4D04">
        <w:rPr>
          <w:szCs w:val="24"/>
          <w:lang w:val="en-GB"/>
        </w:rPr>
        <w:t xml:space="preserve">initiated by </w:t>
      </w:r>
      <w:r>
        <w:rPr>
          <w:szCs w:val="24"/>
          <w:lang w:val="en-GB"/>
        </w:rPr>
        <w:t xml:space="preserve">an </w:t>
      </w:r>
      <w:r w:rsidRPr="00FD4D04">
        <w:rPr>
          <w:szCs w:val="24"/>
          <w:lang w:val="en-GB"/>
        </w:rPr>
        <w:t>ISO 20022 XML message</w:t>
      </w:r>
      <w:r>
        <w:rPr>
          <w:szCs w:val="24"/>
          <w:lang w:val="en-GB"/>
        </w:rPr>
        <w:t>s, as for instance today in T2:</w:t>
      </w:r>
    </w:p>
    <w:p w14:paraId="287BF695" w14:textId="77777777" w:rsidR="00D567CB" w:rsidRDefault="00D567CB" w:rsidP="00D567CB">
      <w:pPr>
        <w:pStyle w:val="ListParagraph"/>
        <w:numPr>
          <w:ilvl w:val="0"/>
          <w:numId w:val="17"/>
        </w:numPr>
        <w:rPr>
          <w:szCs w:val="24"/>
          <w:lang w:val="en-GB"/>
        </w:rPr>
      </w:pPr>
      <w:r>
        <w:rPr>
          <w:szCs w:val="24"/>
          <w:lang w:val="en-GB"/>
        </w:rPr>
        <w:t>s</w:t>
      </w:r>
      <w:r w:rsidRPr="00FD4D04">
        <w:rPr>
          <w:szCs w:val="24"/>
          <w:lang w:val="en-GB"/>
        </w:rPr>
        <w:t xml:space="preserve">ystem generated transactions (e.g., standing order or automated liquidity transfers), </w:t>
      </w:r>
    </w:p>
    <w:p w14:paraId="36AF74E4" w14:textId="77777777" w:rsidR="00D567CB" w:rsidRDefault="00D567CB" w:rsidP="00D567CB">
      <w:pPr>
        <w:pStyle w:val="ListParagraph"/>
        <w:numPr>
          <w:ilvl w:val="0"/>
          <w:numId w:val="17"/>
        </w:numPr>
        <w:rPr>
          <w:szCs w:val="24"/>
          <w:lang w:val="en-GB"/>
        </w:rPr>
      </w:pPr>
      <w:r w:rsidRPr="00FD4D04">
        <w:rPr>
          <w:szCs w:val="24"/>
          <w:lang w:val="en-GB"/>
        </w:rPr>
        <w:t>U</w:t>
      </w:r>
      <w:r>
        <w:rPr>
          <w:szCs w:val="24"/>
          <w:lang w:val="en-GB"/>
        </w:rPr>
        <w:t>ser-to-Application entries (via GUI),</w:t>
      </w:r>
      <w:r w:rsidRPr="00FD4D04">
        <w:rPr>
          <w:szCs w:val="24"/>
          <w:lang w:val="en-GB"/>
        </w:rPr>
        <w:t xml:space="preserve"> </w:t>
      </w:r>
    </w:p>
    <w:p w14:paraId="0424229A" w14:textId="77777777" w:rsidR="00D567CB" w:rsidRDefault="00D567CB" w:rsidP="00D567CB">
      <w:pPr>
        <w:pStyle w:val="ListParagraph"/>
        <w:numPr>
          <w:ilvl w:val="0"/>
          <w:numId w:val="17"/>
        </w:numPr>
        <w:rPr>
          <w:szCs w:val="24"/>
          <w:lang w:val="en-GB"/>
        </w:rPr>
      </w:pPr>
      <w:r w:rsidRPr="00FD4D04">
        <w:rPr>
          <w:szCs w:val="24"/>
          <w:lang w:val="en-GB"/>
        </w:rPr>
        <w:t xml:space="preserve">proprietary XML messages </w:t>
      </w:r>
      <w:r>
        <w:rPr>
          <w:szCs w:val="24"/>
          <w:lang w:val="en-GB"/>
        </w:rPr>
        <w:t>where information</w:t>
      </w:r>
      <w:r w:rsidRPr="00FD4D04">
        <w:rPr>
          <w:szCs w:val="24"/>
          <w:lang w:val="en-GB"/>
        </w:rPr>
        <w:t xml:space="preserve"> </w:t>
      </w:r>
      <w:r>
        <w:rPr>
          <w:szCs w:val="24"/>
          <w:lang w:val="en-GB"/>
        </w:rPr>
        <w:t>cannot be</w:t>
      </w:r>
      <w:r w:rsidRPr="00FD4D04">
        <w:rPr>
          <w:szCs w:val="24"/>
          <w:lang w:val="en-GB"/>
        </w:rPr>
        <w:t xml:space="preserve"> fully </w:t>
      </w:r>
      <w:r>
        <w:rPr>
          <w:szCs w:val="24"/>
          <w:lang w:val="en-GB"/>
        </w:rPr>
        <w:t>mapped</w:t>
      </w:r>
      <w:r w:rsidRPr="00FD4D04">
        <w:rPr>
          <w:szCs w:val="24"/>
          <w:lang w:val="en-GB"/>
        </w:rPr>
        <w:t xml:space="preserve"> </w:t>
      </w:r>
      <w:r>
        <w:rPr>
          <w:szCs w:val="24"/>
          <w:lang w:val="en-GB"/>
        </w:rPr>
        <w:t>in</w:t>
      </w:r>
      <w:r w:rsidRPr="00FD4D04">
        <w:rPr>
          <w:szCs w:val="24"/>
          <w:lang w:val="en-GB"/>
        </w:rPr>
        <w:t xml:space="preserve">to camt.052, camt.053 and camt.054 </w:t>
      </w:r>
      <w:r>
        <w:rPr>
          <w:szCs w:val="24"/>
          <w:lang w:val="en-GB"/>
        </w:rPr>
        <w:t>structure,</w:t>
      </w:r>
    </w:p>
    <w:p w14:paraId="79502444" w14:textId="77777777" w:rsidR="00D567CB" w:rsidRDefault="00D567CB" w:rsidP="00D567CB">
      <w:pPr>
        <w:rPr>
          <w:szCs w:val="24"/>
          <w:lang w:val="en-GB"/>
        </w:rPr>
      </w:pPr>
      <w:r>
        <w:rPr>
          <w:szCs w:val="24"/>
          <w:lang w:val="en-GB"/>
        </w:rPr>
        <w:t>Further benefits of the element</w:t>
      </w:r>
      <w:r w:rsidRPr="002C2285">
        <w:rPr>
          <w:szCs w:val="24"/>
          <w:lang w:val="en-GB"/>
        </w:rPr>
        <w:t xml:space="preserve"> &lt;</w:t>
      </w:r>
      <w:proofErr w:type="spellStart"/>
      <w:r w:rsidRPr="002C2285">
        <w:rPr>
          <w:szCs w:val="24"/>
          <w:lang w:val="en-GB"/>
        </w:rPr>
        <w:t>InstructionCopy</w:t>
      </w:r>
      <w:proofErr w:type="spellEnd"/>
      <w:r w:rsidRPr="002C2285">
        <w:rPr>
          <w:szCs w:val="24"/>
          <w:lang w:val="en-GB"/>
        </w:rPr>
        <w:t xml:space="preserve">&gt; </w:t>
      </w:r>
      <w:r>
        <w:rPr>
          <w:szCs w:val="24"/>
          <w:lang w:val="en-GB"/>
        </w:rPr>
        <w:t>would be provision of</w:t>
      </w:r>
    </w:p>
    <w:p w14:paraId="128C38FF" w14:textId="77777777" w:rsidR="00D567CB" w:rsidRDefault="00D567CB" w:rsidP="00D567CB">
      <w:pPr>
        <w:pStyle w:val="ListParagraph"/>
        <w:numPr>
          <w:ilvl w:val="0"/>
          <w:numId w:val="17"/>
        </w:numPr>
        <w:rPr>
          <w:szCs w:val="24"/>
          <w:lang w:val="en-GB"/>
        </w:rPr>
      </w:pPr>
      <w:r w:rsidRPr="007B5F37">
        <w:rPr>
          <w:szCs w:val="24"/>
          <w:lang w:val="en-GB"/>
        </w:rPr>
        <w:t>f</w:t>
      </w:r>
      <w:r w:rsidRPr="00C6020B">
        <w:rPr>
          <w:szCs w:val="24"/>
          <w:lang w:val="en-GB"/>
        </w:rPr>
        <w:t xml:space="preserve">ull business message, </w:t>
      </w:r>
      <w:r>
        <w:rPr>
          <w:szCs w:val="24"/>
          <w:lang w:val="en-GB"/>
        </w:rPr>
        <w:t>i.e. i</w:t>
      </w:r>
      <w:r w:rsidRPr="007B5F37">
        <w:rPr>
          <w:szCs w:val="24"/>
          <w:lang w:val="en-GB"/>
        </w:rPr>
        <w:t xml:space="preserve">ncluding </w:t>
      </w:r>
      <w:r>
        <w:rPr>
          <w:szCs w:val="24"/>
          <w:lang w:val="en-GB"/>
        </w:rPr>
        <w:t xml:space="preserve">also </w:t>
      </w:r>
      <w:r w:rsidRPr="007B5F37">
        <w:rPr>
          <w:szCs w:val="24"/>
          <w:lang w:val="en-GB"/>
        </w:rPr>
        <w:t xml:space="preserve">the head.001 </w:t>
      </w:r>
      <w:r>
        <w:rPr>
          <w:szCs w:val="24"/>
          <w:lang w:val="en-GB"/>
        </w:rPr>
        <w:t>in addition to</w:t>
      </w:r>
      <w:r w:rsidRPr="007B5F37">
        <w:rPr>
          <w:szCs w:val="24"/>
          <w:lang w:val="en-GB"/>
        </w:rPr>
        <w:t xml:space="preserve"> document into camt.052, camt.053, camt.054 reporting.</w:t>
      </w:r>
    </w:p>
    <w:p w14:paraId="28733E85" w14:textId="77777777" w:rsidR="00D567CB" w:rsidRDefault="00D567CB" w:rsidP="00D567CB">
      <w:pPr>
        <w:pStyle w:val="ListParagraph"/>
        <w:numPr>
          <w:ilvl w:val="0"/>
          <w:numId w:val="17"/>
        </w:numPr>
        <w:rPr>
          <w:szCs w:val="24"/>
          <w:lang w:val="en-GB"/>
        </w:rPr>
      </w:pPr>
      <w:r>
        <w:rPr>
          <w:szCs w:val="24"/>
          <w:lang w:val="en-GB"/>
        </w:rPr>
        <w:t>transaction details of messages originally initiated in other data format, e.g., JSON</w:t>
      </w:r>
    </w:p>
    <w:p w14:paraId="68322A6A" w14:textId="77777777" w:rsidR="00D567CB" w:rsidRDefault="00D567CB" w:rsidP="00D567CB">
      <w:pPr>
        <w:rPr>
          <w:szCs w:val="24"/>
          <w:lang w:val="en-GB"/>
        </w:rPr>
      </w:pPr>
      <w:r>
        <w:rPr>
          <w:szCs w:val="24"/>
          <w:lang w:val="en-GB"/>
        </w:rPr>
        <w:t>In the case of recovery scenario T2 will need &lt;</w:t>
      </w:r>
      <w:proofErr w:type="spellStart"/>
      <w:r>
        <w:rPr>
          <w:szCs w:val="24"/>
          <w:lang w:val="en-GB"/>
        </w:rPr>
        <w:t>InstrCpy</w:t>
      </w:r>
      <w:proofErr w:type="spellEnd"/>
      <w:r>
        <w:rPr>
          <w:szCs w:val="24"/>
          <w:lang w:val="en-GB"/>
        </w:rPr>
        <w:t xml:space="preserve">&gt; in camt.054 to </w:t>
      </w:r>
      <w:r w:rsidRPr="004D1DED">
        <w:rPr>
          <w:szCs w:val="24"/>
          <w:lang w:val="en-GB"/>
        </w:rPr>
        <w:t xml:space="preserve">rebuild </w:t>
      </w:r>
      <w:r>
        <w:rPr>
          <w:szCs w:val="24"/>
          <w:lang w:val="en-GB"/>
        </w:rPr>
        <w:t xml:space="preserve">information on </w:t>
      </w:r>
      <w:r w:rsidRPr="004D1DED">
        <w:rPr>
          <w:szCs w:val="24"/>
          <w:lang w:val="en-GB"/>
        </w:rPr>
        <w:t>settled</w:t>
      </w:r>
      <w:r>
        <w:rPr>
          <w:szCs w:val="24"/>
          <w:lang w:val="en-GB"/>
        </w:rPr>
        <w:t xml:space="preserve">/executed instructions which cannot be retrieved from NSP. In particular a </w:t>
      </w:r>
      <w:r w:rsidRPr="004D1DED">
        <w:rPr>
          <w:szCs w:val="24"/>
          <w:lang w:val="en-GB"/>
        </w:rPr>
        <w:t xml:space="preserve">full copy of U2A and </w:t>
      </w:r>
      <w:r>
        <w:rPr>
          <w:szCs w:val="24"/>
          <w:lang w:val="en-GB"/>
        </w:rPr>
        <w:t xml:space="preserve">TARGET Services </w:t>
      </w:r>
      <w:r w:rsidRPr="004D1DED">
        <w:rPr>
          <w:szCs w:val="24"/>
          <w:lang w:val="en-GB"/>
        </w:rPr>
        <w:t xml:space="preserve">internal A2A messages </w:t>
      </w:r>
      <w:r>
        <w:rPr>
          <w:szCs w:val="24"/>
          <w:lang w:val="en-GB"/>
        </w:rPr>
        <w:t>is needed.</w:t>
      </w:r>
    </w:p>
    <w:p w14:paraId="33674253" w14:textId="77777777" w:rsidR="00D567CB" w:rsidRDefault="00D567CB" w:rsidP="00D567CB">
      <w:pPr>
        <w:rPr>
          <w:b/>
          <w:szCs w:val="24"/>
          <w:lang w:val="en-GB"/>
        </w:rPr>
      </w:pPr>
    </w:p>
    <w:p w14:paraId="41294612" w14:textId="21B838C9"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3D1A1432" w:rsidR="00CB683A" w:rsidRPr="0085530C" w:rsidRDefault="00D567CB" w:rsidP="00F34C66">
      <w:pPr>
        <w:rPr>
          <w:i/>
          <w:szCs w:val="24"/>
          <w:lang w:val="en-GB"/>
        </w:rPr>
      </w:pPr>
      <w:r>
        <w:rPr>
          <w:szCs w:val="24"/>
          <w:lang w:val="en-GB"/>
        </w:rPr>
        <w:t>Next maintenance cycle</w:t>
      </w:r>
      <w:r w:rsidR="0085530C" w:rsidRPr="0085530C">
        <w:rPr>
          <w:i/>
          <w:sz w:val="23"/>
          <w:szCs w:val="23"/>
        </w:rPr>
        <w:t>.</w:t>
      </w:r>
      <w:r w:rsidR="00CB683A" w:rsidRPr="0085530C">
        <w:rPr>
          <w:i/>
          <w:szCs w:val="24"/>
          <w:lang w:val="en-GB"/>
        </w:rPr>
        <w:t xml:space="preserve">  </w:t>
      </w:r>
    </w:p>
    <w:p w14:paraId="01B18C83" w14:textId="77777777" w:rsidR="00D567CB" w:rsidRPr="00D567CB" w:rsidRDefault="00D567CB" w:rsidP="00D567CB">
      <w:pPr>
        <w:rPr>
          <w:szCs w:val="24"/>
          <w:lang w:val="en-GB"/>
        </w:rPr>
      </w:pPr>
    </w:p>
    <w:p w14:paraId="16387BC1" w14:textId="3BECACE4"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647CE966" w14:textId="77777777" w:rsidR="00D567CB" w:rsidRPr="00D567CB" w:rsidRDefault="00D567CB" w:rsidP="00D567CB">
      <w:pPr>
        <w:rPr>
          <w:rFonts w:ascii="Calibri" w:hAnsi="Calibri" w:cs="Calibri"/>
          <w:color w:val="4F81BD"/>
          <w:sz w:val="18"/>
          <w:szCs w:val="18"/>
          <w:lang w:val="en-GB"/>
        </w:rPr>
      </w:pPr>
      <w:r w:rsidRPr="00D567CB">
        <w:rPr>
          <w:rFonts w:ascii="Calibri" w:hAnsi="Calibri" w:cs="Calibri"/>
          <w:color w:val="4F81BD"/>
          <w:sz w:val="18"/>
          <w:szCs w:val="18"/>
          <w:lang w:val="en-GB"/>
        </w:rPr>
        <w:t>&lt;</w:t>
      </w:r>
      <w:proofErr w:type="spellStart"/>
      <w:r w:rsidRPr="00D567CB">
        <w:rPr>
          <w:rFonts w:ascii="Calibri" w:hAnsi="Calibri" w:cs="Calibri"/>
          <w:color w:val="4F81BD"/>
          <w:sz w:val="18"/>
          <w:szCs w:val="18"/>
          <w:lang w:val="en-GB"/>
        </w:rPr>
        <w:t>InstrCpy</w:t>
      </w:r>
      <w:proofErr w:type="spellEnd"/>
      <w:r w:rsidRPr="00D567CB">
        <w:rPr>
          <w:rFonts w:ascii="Calibri" w:hAnsi="Calibri" w:cs="Calibri"/>
          <w:color w:val="4F81BD"/>
          <w:sz w:val="18"/>
          <w:szCs w:val="18"/>
          <w:lang w:val="en-GB"/>
        </w:rPr>
        <w:t>&gt;</w:t>
      </w:r>
    </w:p>
    <w:p w14:paraId="2712CA71" w14:textId="77777777" w:rsidR="00D567CB" w:rsidRPr="00D567CB" w:rsidRDefault="00D567CB" w:rsidP="00D567CB">
      <w:pPr>
        <w:rPr>
          <w:rFonts w:ascii="Calibri" w:hAnsi="Calibri" w:cs="Calibri"/>
          <w:color w:val="4F81BD"/>
          <w:sz w:val="18"/>
          <w:szCs w:val="18"/>
          <w:lang w:val="en-GB"/>
        </w:rPr>
      </w:pPr>
      <w:r w:rsidRPr="00D567CB">
        <w:rPr>
          <w:rFonts w:ascii="Calibri" w:hAnsi="Calibri" w:cs="Calibri"/>
          <w:color w:val="4F81BD"/>
          <w:sz w:val="18"/>
          <w:szCs w:val="18"/>
          <w:lang w:val="en-GB"/>
        </w:rPr>
        <w:t>&lt;![CDATA[ &lt;</w:t>
      </w:r>
      <w:proofErr w:type="spellStart"/>
      <w:r w:rsidRPr="00D567CB">
        <w:rPr>
          <w:rFonts w:ascii="Calibri" w:hAnsi="Calibri" w:cs="Calibri"/>
          <w:color w:val="4F81BD"/>
          <w:sz w:val="18"/>
          <w:szCs w:val="18"/>
          <w:lang w:val="en-GB"/>
        </w:rPr>
        <w:t>AppHdr</w:t>
      </w:r>
      <w:proofErr w:type="spellEnd"/>
      <w:r w:rsidRPr="00D567CB">
        <w:rPr>
          <w:rFonts w:ascii="Calibri" w:hAnsi="Calibri" w:cs="Calibri"/>
          <w:color w:val="4F81BD"/>
          <w:sz w:val="18"/>
          <w:szCs w:val="18"/>
          <w:lang w:val="en-GB"/>
        </w:rPr>
        <w:t xml:space="preserve"> </w:t>
      </w:r>
      <w:proofErr w:type="spellStart"/>
      <w:r w:rsidRPr="00D567CB">
        <w:rPr>
          <w:rFonts w:ascii="Calibri" w:hAnsi="Calibri" w:cs="Calibri"/>
          <w:color w:val="4F81BD"/>
          <w:sz w:val="18"/>
          <w:szCs w:val="18"/>
          <w:lang w:val="en-GB"/>
        </w:rPr>
        <w:t>xmlns</w:t>
      </w:r>
      <w:proofErr w:type="spellEnd"/>
      <w:r w:rsidRPr="00D567CB">
        <w:rPr>
          <w:rFonts w:ascii="Calibri" w:hAnsi="Calibri" w:cs="Calibri"/>
          <w:color w:val="4F81BD"/>
          <w:sz w:val="18"/>
          <w:szCs w:val="18"/>
          <w:lang w:val="en-GB"/>
        </w:rPr>
        <w:t xml:space="preserve">="urn:iso:std:iso:20022:tech:xsd:head.001.001.01" xmlns:n1="http://www.w3.org/2000/09/xmldsig#" </w:t>
      </w:r>
      <w:proofErr w:type="spellStart"/>
      <w:r w:rsidRPr="00D567CB">
        <w:rPr>
          <w:rFonts w:ascii="Calibri" w:hAnsi="Calibri" w:cs="Calibri"/>
          <w:color w:val="4F81BD"/>
          <w:sz w:val="18"/>
          <w:szCs w:val="18"/>
          <w:lang w:val="en-GB"/>
        </w:rPr>
        <w:t>xmlns:xsi</w:t>
      </w:r>
      <w:proofErr w:type="spellEnd"/>
      <w:r w:rsidRPr="00D567CB">
        <w:rPr>
          <w:rFonts w:ascii="Calibri" w:hAnsi="Calibri" w:cs="Calibri"/>
          <w:color w:val="4F81BD"/>
          <w:sz w:val="18"/>
          <w:szCs w:val="18"/>
          <w:lang w:val="en-GB"/>
        </w:rPr>
        <w:t xml:space="preserve">="http://www.w3.org/2001/XMLSchema-instance" xsi:schemaLocation="urn:iso:std:iso:20022:tech:xsd:head.001.001.01 CLM_head_001_001_01_20200504.xsd"&gt;&lt;Fr&gt;&lt;FIId&gt;&lt;FinInstnId&gt;&lt;BICFI&gt;PBABVED0XXX&lt;/BICFI&gt;&lt;ClrSysMmbId&gt;&lt;ClrSysId&gt;&lt;Prtry&gt;CLM&lt;/Prtry&gt;&lt;/ClrSysId&gt;&lt;MmbId&gt;SUR1-pbabved0xxx&lt;/MmbId&gt;&lt;/ClrSysMmbId&gt;&lt;/FinInstnId&gt;&lt;/FIId&gt;&lt;/Fr&gt;&lt;To&gt;&lt;FIId&gt;&lt;FinInstnId&gt;&lt;BICFI&gt;TRGTXETTCLM&lt;/BICFI&gt;&lt;/FinInstnId&gt;&lt;/FIId&gt;&lt;/To&gt;&lt;BizMsgIdr&gt;B111712080576001&lt;/BizMsgIdr&gt;&lt;MsgDefIdr&gt;camt.050.001.05&lt;/MsgDefIdr&gt;&lt;CreDt&gt;2023-11-17T12:08:15Z&lt;/CreDt&gt;&lt;/AppHdr&gt;&lt;Document </w:t>
      </w:r>
      <w:proofErr w:type="spellStart"/>
      <w:r w:rsidRPr="00D567CB">
        <w:rPr>
          <w:rFonts w:ascii="Calibri" w:hAnsi="Calibri" w:cs="Calibri"/>
          <w:color w:val="4F81BD"/>
          <w:sz w:val="18"/>
          <w:szCs w:val="18"/>
          <w:lang w:val="en-GB"/>
        </w:rPr>
        <w:t>xmlns</w:t>
      </w:r>
      <w:proofErr w:type="spellEnd"/>
      <w:r w:rsidRPr="00D567CB">
        <w:rPr>
          <w:rFonts w:ascii="Calibri" w:hAnsi="Calibri" w:cs="Calibri"/>
          <w:color w:val="4F81BD"/>
          <w:sz w:val="18"/>
          <w:szCs w:val="18"/>
          <w:lang w:val="en-GB"/>
        </w:rPr>
        <w:t xml:space="preserve">="urn:iso:std:iso:20022:tech:xsd:camt.050.001.05" </w:t>
      </w:r>
      <w:proofErr w:type="spellStart"/>
      <w:r w:rsidRPr="00D567CB">
        <w:rPr>
          <w:rFonts w:ascii="Calibri" w:hAnsi="Calibri" w:cs="Calibri"/>
          <w:color w:val="4F81BD"/>
          <w:sz w:val="18"/>
          <w:szCs w:val="18"/>
          <w:lang w:val="en-GB"/>
        </w:rPr>
        <w:t>xmlns:xsi</w:t>
      </w:r>
      <w:proofErr w:type="spellEnd"/>
      <w:r w:rsidRPr="00D567CB">
        <w:rPr>
          <w:rFonts w:ascii="Calibri" w:hAnsi="Calibri" w:cs="Calibri"/>
          <w:color w:val="4F81BD"/>
          <w:sz w:val="18"/>
          <w:szCs w:val="18"/>
          <w:lang w:val="en-GB"/>
        </w:rPr>
        <w:t>="http://www.w3.org/2001/XMLSchema-instance" xsi:schemaLocation="urn:iso:std:iso:20022:tech:xsd:camt.050.001.05 CLM_camt_050_001_05_20210624.xsd"&gt;&lt;LqdtyCdtTrf&gt;&lt;MsgHdr&gt;&lt;MsgId&gt;NONREF&lt;/MsgId&gt;&lt;/MsgHdr&gt;&lt;LqdtyCdtTrf&gt;&lt;LqdtyTrfId&gt;&lt;InstrId&gt;E111712080576001&lt;/InstrId&gt;&lt;EndToEndId&gt;E111712080576001&lt;/EndToEndId&gt;&lt;/LqdtyTrfId&gt;&lt;CdtrAcct&gt;&lt;Id&gt;&lt;Othr&gt;&lt;Id&gt;AcctID&lt;/Id&gt;&lt;/Othr&gt;&lt;/Id&gt;&lt;/CdtrAcct&gt;&lt;TrfdAmt&gt;&lt;AmtWthCcy Ccy="EUR"&gt;01.00&lt;/AmtWthCcy&gt;&lt;/TrfdAmt&gt;&lt;DbtrAcct&gt;&lt;Id&gt;&lt;Othr&gt;&lt;Id&gt;AcctID&lt;/Id&gt;&lt;/Othr&gt;&lt;/Id&gt;&lt;/DbtrAcct&gt;&lt;SttlmDt&gt;2023-11-17&lt;/SttlmDt&gt;&lt;/LqdtyCdtTrf&gt;&lt;/LqdtyCdtTrf&gt;&lt;/Document&gt; ]]&gt;</w:t>
      </w:r>
    </w:p>
    <w:p w14:paraId="16ED2978" w14:textId="77777777" w:rsidR="00D567CB" w:rsidRPr="00D567CB" w:rsidRDefault="00D567CB" w:rsidP="00D567CB">
      <w:pPr>
        <w:rPr>
          <w:rFonts w:ascii="Calibri" w:hAnsi="Calibri" w:cs="Calibri"/>
          <w:color w:val="4F81BD"/>
          <w:sz w:val="18"/>
          <w:szCs w:val="18"/>
          <w:lang w:val="en-GB"/>
        </w:rPr>
      </w:pPr>
      <w:r w:rsidRPr="00D567CB">
        <w:rPr>
          <w:rFonts w:ascii="Calibri" w:hAnsi="Calibri" w:cs="Calibri"/>
          <w:color w:val="4F81BD"/>
          <w:sz w:val="18"/>
          <w:szCs w:val="18"/>
          <w:lang w:val="en-GB"/>
        </w:rPr>
        <w:t>&lt;/</w:t>
      </w:r>
      <w:proofErr w:type="spellStart"/>
      <w:r w:rsidRPr="00D567CB">
        <w:rPr>
          <w:rFonts w:ascii="Calibri" w:hAnsi="Calibri" w:cs="Calibri"/>
          <w:color w:val="4F81BD"/>
          <w:sz w:val="18"/>
          <w:szCs w:val="18"/>
          <w:lang w:val="en-GB"/>
        </w:rPr>
        <w:t>InstrCpy</w:t>
      </w:r>
      <w:proofErr w:type="spellEnd"/>
      <w:r w:rsidRPr="00D567CB">
        <w:rPr>
          <w:rFonts w:ascii="Calibri" w:hAnsi="Calibri" w:cs="Calibri"/>
          <w:color w:val="4F81BD"/>
          <w:sz w:val="18"/>
          <w:szCs w:val="18"/>
          <w:lang w:val="en-GB"/>
        </w:rPr>
        <w:t>&gt;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54D086D2" w:rsidR="00C40729" w:rsidRPr="00AD7CD5" w:rsidRDefault="00A31AF8" w:rsidP="00A31AF8">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6243557E" w:rsidR="00130EB9" w:rsidRPr="00AD7CD5" w:rsidRDefault="00A31AF8" w:rsidP="00A31AF8">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23F27919" w:rsidR="00D567CB" w:rsidRDefault="00C41DDB" w:rsidP="00567F13">
      <w:pPr>
        <w:rPr>
          <w:szCs w:val="24"/>
          <w:lang w:val="en-GB"/>
        </w:rPr>
      </w:pPr>
      <w:r w:rsidRPr="00567F13">
        <w:rPr>
          <w:szCs w:val="24"/>
          <w:lang w:val="en-GB"/>
        </w:rPr>
        <w:t>Reason for rejection:</w:t>
      </w:r>
    </w:p>
    <w:p w14:paraId="47499DA8" w14:textId="77777777" w:rsidR="00D567CB" w:rsidRPr="00D567CB" w:rsidRDefault="00D567CB" w:rsidP="00D567CB">
      <w:pPr>
        <w:rPr>
          <w:szCs w:val="24"/>
          <w:lang w:val="en-GB"/>
        </w:rPr>
      </w:pPr>
    </w:p>
    <w:p w14:paraId="48ED0741" w14:textId="596BF5DC" w:rsidR="00D567CB" w:rsidRPr="00D567CB" w:rsidRDefault="00D567CB" w:rsidP="00D567CB">
      <w:pPr>
        <w:tabs>
          <w:tab w:val="left" w:pos="6450"/>
        </w:tabs>
        <w:rPr>
          <w:szCs w:val="24"/>
          <w:lang w:val="en-GB"/>
        </w:rPr>
      </w:pPr>
    </w:p>
    <w:p w14:paraId="450B58EF" w14:textId="77777777" w:rsidR="00D567CB" w:rsidRPr="00D567CB" w:rsidRDefault="00D567CB" w:rsidP="00D567CB">
      <w:pPr>
        <w:rPr>
          <w:szCs w:val="24"/>
          <w:lang w:val="en-GB"/>
        </w:rPr>
      </w:pPr>
    </w:p>
    <w:p w14:paraId="743D966D" w14:textId="77777777" w:rsidR="00D567CB" w:rsidRPr="00D567CB" w:rsidRDefault="00D567CB" w:rsidP="00D567CB">
      <w:pPr>
        <w:rPr>
          <w:szCs w:val="24"/>
          <w:lang w:val="en-GB"/>
        </w:rPr>
      </w:pPr>
    </w:p>
    <w:p w14:paraId="72D29083" w14:textId="77777777" w:rsidR="00D567CB" w:rsidRPr="00D567CB" w:rsidRDefault="00D567CB" w:rsidP="00D567CB">
      <w:pPr>
        <w:rPr>
          <w:szCs w:val="24"/>
          <w:lang w:val="en-GB"/>
        </w:rPr>
      </w:pPr>
    </w:p>
    <w:p w14:paraId="281C738C" w14:textId="79C0C1AA" w:rsidR="007D6A9F" w:rsidRPr="00D567CB" w:rsidRDefault="007D6A9F" w:rsidP="00D567CB">
      <w:pPr>
        <w:rPr>
          <w:szCs w:val="24"/>
          <w:lang w:val="en-GB"/>
        </w:rPr>
      </w:pPr>
    </w:p>
    <w:sectPr w:rsidR="007D6A9F" w:rsidRPr="00D567CB"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BD98" w14:textId="77777777" w:rsidR="00643E0C" w:rsidRDefault="00643E0C">
      <w:r>
        <w:separator/>
      </w:r>
    </w:p>
  </w:endnote>
  <w:endnote w:type="continuationSeparator" w:id="0">
    <w:p w14:paraId="1F79C35D" w14:textId="77777777" w:rsidR="00643E0C" w:rsidRDefault="0064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3717" w14:textId="77777777" w:rsidR="00C209A7" w:rsidRDefault="00C2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225C9518" w:rsidR="00567F13" w:rsidRDefault="00A31AF8">
    <w:pPr>
      <w:pStyle w:val="Footer"/>
      <w:rPr>
        <w:rStyle w:val="PageNumber"/>
      </w:rPr>
    </w:pPr>
    <w:r>
      <w:fldChar w:fldCharType="begin"/>
    </w:r>
    <w:r>
      <w:instrText xml:space="preserve"> FILENAME   \* MERGEFORMAT </w:instrText>
    </w:r>
    <w:r>
      <w:fldChar w:fldCharType="separate"/>
    </w:r>
    <w:r>
      <w:rPr>
        <w:noProof/>
      </w:rPr>
      <w:t>CR1364_t2_4cb_instrcpy_camt.052_053_054_v2.docx</w:t>
    </w:r>
    <w:r>
      <w:rPr>
        <w:noProof/>
      </w:rPr>
      <w:fldChar w:fldCharType="end"/>
    </w:r>
    <w:r w:rsidR="00812332">
      <w:tab/>
    </w:r>
    <w:r w:rsidR="00567F13">
      <w:t xml:space="preserve">Produced by </w:t>
    </w:r>
    <w:r w:rsidR="00D567CB">
      <w:t>Deutsche Bundesbank</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854281">
      <w:rPr>
        <w:rStyle w:val="PageNumber"/>
        <w:noProof/>
      </w:rPr>
      <w:t>5</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0D83" w14:textId="77777777" w:rsidR="00C209A7" w:rsidRDefault="00C2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7706" w14:textId="77777777" w:rsidR="00643E0C" w:rsidRDefault="00643E0C">
      <w:r>
        <w:separator/>
      </w:r>
    </w:p>
  </w:footnote>
  <w:footnote w:type="continuationSeparator" w:id="0">
    <w:p w14:paraId="6A7C3048" w14:textId="77777777" w:rsidR="00643E0C" w:rsidRDefault="0064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F8FE" w14:textId="77777777" w:rsidR="00C209A7" w:rsidRDefault="00C20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63445646" w:rsidR="00E74C04" w:rsidRPr="00801493" w:rsidRDefault="00801493">
    <w:pPr>
      <w:pStyle w:val="Header"/>
      <w:rPr>
        <w:lang w:val="fr-BE"/>
      </w:rPr>
    </w:pPr>
    <w:r>
      <w:rPr>
        <w:lang w:val="fr-BE"/>
      </w:rPr>
      <w:t xml:space="preserve">RA ID : </w:t>
    </w:r>
    <w:r w:rsidR="00C209A7">
      <w:rPr>
        <w:lang w:val="fr-BE"/>
      </w:rPr>
      <w:t>CR1364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090" w14:textId="77777777" w:rsidR="00C209A7" w:rsidRDefault="00C20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C78AD"/>
    <w:multiLevelType w:val="hybridMultilevel"/>
    <w:tmpl w:val="A266916A"/>
    <w:lvl w:ilvl="0" w:tplc="D41CEC94">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8606997">
    <w:abstractNumId w:val="2"/>
  </w:num>
  <w:num w:numId="2" w16cid:durableId="1935475002">
    <w:abstractNumId w:val="0"/>
  </w:num>
  <w:num w:numId="3" w16cid:durableId="862867695">
    <w:abstractNumId w:val="1"/>
  </w:num>
  <w:num w:numId="4" w16cid:durableId="4287815">
    <w:abstractNumId w:val="3"/>
  </w:num>
  <w:num w:numId="5" w16cid:durableId="474178191">
    <w:abstractNumId w:val="15"/>
  </w:num>
  <w:num w:numId="6" w16cid:durableId="1116369904">
    <w:abstractNumId w:val="8"/>
  </w:num>
  <w:num w:numId="7" w16cid:durableId="1828203233">
    <w:abstractNumId w:val="11"/>
  </w:num>
  <w:num w:numId="8" w16cid:durableId="1712918944">
    <w:abstractNumId w:val="9"/>
  </w:num>
  <w:num w:numId="9" w16cid:durableId="2085636501">
    <w:abstractNumId w:val="14"/>
  </w:num>
  <w:num w:numId="10" w16cid:durableId="1202940986">
    <w:abstractNumId w:val="5"/>
  </w:num>
  <w:num w:numId="11" w16cid:durableId="943879010">
    <w:abstractNumId w:val="7"/>
  </w:num>
  <w:num w:numId="12" w16cid:durableId="1502694428">
    <w:abstractNumId w:val="10"/>
  </w:num>
  <w:num w:numId="13" w16cid:durableId="1842625762">
    <w:abstractNumId w:val="4"/>
  </w:num>
  <w:num w:numId="14" w16cid:durableId="1230454952">
    <w:abstractNumId w:val="6"/>
  </w:num>
  <w:num w:numId="15" w16cid:durableId="760679296">
    <w:abstractNumId w:val="13"/>
  </w:num>
  <w:num w:numId="16" w16cid:durableId="1101337502">
    <w:abstractNumId w:val="12"/>
  </w:num>
  <w:num w:numId="17" w16cid:durableId="1271280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2538B"/>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43E0C"/>
    <w:rsid w:val="006643DC"/>
    <w:rsid w:val="006A02BC"/>
    <w:rsid w:val="006A7B96"/>
    <w:rsid w:val="006B20D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2332"/>
    <w:rsid w:val="00814D4C"/>
    <w:rsid w:val="008265E8"/>
    <w:rsid w:val="008270CD"/>
    <w:rsid w:val="008270DF"/>
    <w:rsid w:val="0084123C"/>
    <w:rsid w:val="008438AF"/>
    <w:rsid w:val="00843FE8"/>
    <w:rsid w:val="00854281"/>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1AF8"/>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CC"/>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209A7"/>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567CB"/>
    <w:rsid w:val="00D67DE0"/>
    <w:rsid w:val="00D73E09"/>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D56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fen.faehrmann@bundesbank.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volution.emip@bundesbank.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hanie.radet@bundesbank.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EF7DA-EEBB-4570-BCE1-0CAA87774E0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591</Words>
  <Characters>4836</Characters>
  <Application>Microsoft Office Word</Application>
  <DocSecurity>0</DocSecurity>
  <Lines>40</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5417</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4</cp:revision>
  <cp:lastPrinted>2009-03-10T11:18:00Z</cp:lastPrinted>
  <dcterms:created xsi:type="dcterms:W3CDTF">2024-04-23T10:00:00Z</dcterms:created>
  <dcterms:modified xsi:type="dcterms:W3CDTF">2024-07-02T06:41:00Z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