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0AF0375" w14:textId="25496C5B" w:rsidR="00151A7A" w:rsidRPr="00151A7A" w:rsidRDefault="008438AF" w:rsidP="00151A7A">
      <w:pPr>
        <w:spacing w:after="240"/>
        <w:rPr>
          <w:i/>
          <w:szCs w:val="24"/>
          <w:lang w:val="en-GB"/>
        </w:rPr>
      </w:pPr>
      <w:r w:rsidRPr="008438AF">
        <w:rPr>
          <w:i/>
          <w:szCs w:val="24"/>
          <w:lang w:val="en-GB"/>
        </w:rPr>
        <w:t>A.1 Submitter</w:t>
      </w:r>
      <w:r w:rsidR="00151A7A">
        <w:rPr>
          <w:i/>
          <w:szCs w:val="24"/>
          <w:lang w:val="en-GB"/>
        </w:rPr>
        <w:t>:</w:t>
      </w:r>
    </w:p>
    <w:p w14:paraId="78AD211B" w14:textId="6B8239E6" w:rsidR="00151A7A" w:rsidRPr="00151A7A" w:rsidRDefault="00151A7A" w:rsidP="00151A7A">
      <w:pPr>
        <w:spacing w:before="0" w:line="360" w:lineRule="auto"/>
        <w:rPr>
          <w:color w:val="0000FF"/>
          <w:szCs w:val="24"/>
          <w:lang w:val="en-GB"/>
        </w:rPr>
      </w:pPr>
      <w:r>
        <w:rPr>
          <w:szCs w:val="24"/>
          <w:lang w:val="en-GB"/>
        </w:rPr>
        <w:t xml:space="preserve">- </w:t>
      </w:r>
      <w:r w:rsidR="00FD5A55" w:rsidRPr="00151A7A">
        <w:rPr>
          <w:szCs w:val="24"/>
          <w:lang w:val="en-GB"/>
        </w:rPr>
        <w:t>Deutsche Bundesbank on behalf of the 4CB</w:t>
      </w:r>
      <w:r w:rsidR="00FD5A55" w:rsidRPr="00DA621E">
        <w:rPr>
          <w:rStyle w:val="FootnoteReference"/>
          <w:szCs w:val="24"/>
          <w:lang w:val="en-GB"/>
        </w:rPr>
        <w:footnoteReference w:id="1"/>
      </w:r>
    </w:p>
    <w:p w14:paraId="22231F41" w14:textId="15C7394F" w:rsidR="000408BA" w:rsidRPr="00151A7A" w:rsidRDefault="00151A7A" w:rsidP="00151A7A">
      <w:pPr>
        <w:spacing w:before="0" w:line="360" w:lineRule="auto"/>
        <w:rPr>
          <w:color w:val="0000FF"/>
          <w:szCs w:val="24"/>
          <w:lang w:val="en-GB"/>
        </w:rPr>
      </w:pPr>
      <w:r>
        <w:rPr>
          <w:szCs w:val="24"/>
          <w:lang w:val="en-GB"/>
        </w:rPr>
        <w:t xml:space="preserve">- </w:t>
      </w:r>
      <w:r w:rsidRPr="00151A7A">
        <w:rPr>
          <w:szCs w:val="24"/>
          <w:lang w:val="en-GB"/>
        </w:rPr>
        <w:t>TARGET2-Securities</w:t>
      </w:r>
      <w:r w:rsidR="008438AF" w:rsidRPr="00151A7A">
        <w:rPr>
          <w:szCs w:val="24"/>
          <w:lang w:val="en-GB"/>
        </w:rPr>
        <w:t xml:space="preserve"> </w:t>
      </w:r>
    </w:p>
    <w:p w14:paraId="170E7390" w14:textId="77777777" w:rsidR="00F84FB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049765F5" w14:textId="68C27500" w:rsidR="002B5E3F" w:rsidRPr="00151A7A" w:rsidRDefault="007E7A2F" w:rsidP="002B5E3F">
      <w:pPr>
        <w:rPr>
          <w:szCs w:val="24"/>
          <w:lang w:val="en-GB"/>
        </w:rPr>
      </w:pPr>
      <w:r w:rsidRPr="00151A7A">
        <w:rPr>
          <w:szCs w:val="24"/>
          <w:lang w:val="en-GB"/>
        </w:rPr>
        <w:t xml:space="preserve">- </w:t>
      </w:r>
      <w:r w:rsidR="002B5E3F" w:rsidRPr="00151A7A">
        <w:rPr>
          <w:szCs w:val="24"/>
          <w:lang w:val="en-GB"/>
        </w:rPr>
        <w:t>Stephanie Radet</w:t>
      </w:r>
      <w:r w:rsidRPr="00151A7A">
        <w:rPr>
          <w:szCs w:val="24"/>
          <w:lang w:val="en-GB"/>
        </w:rPr>
        <w:t xml:space="preserve">, </w:t>
      </w:r>
      <w:hyperlink r:id="rId10" w:history="1">
        <w:r w:rsidR="002B5E3F" w:rsidRPr="00151A7A">
          <w:rPr>
            <w:rStyle w:val="Hyperlink"/>
            <w:szCs w:val="24"/>
            <w:lang w:val="en-GB"/>
          </w:rPr>
          <w:t>stephanie.radet@bundesbank.de</w:t>
        </w:r>
      </w:hyperlink>
      <w:r w:rsidR="00151A7A" w:rsidRPr="00151A7A">
        <w:rPr>
          <w:szCs w:val="24"/>
          <w:lang w:val="en-GB"/>
        </w:rPr>
        <w:t>,</w:t>
      </w:r>
      <w:r w:rsidR="002B5E3F" w:rsidRPr="00151A7A">
        <w:rPr>
          <w:szCs w:val="24"/>
          <w:lang w:val="en-GB"/>
        </w:rPr>
        <w:t xml:space="preserve"> </w:t>
      </w:r>
      <w:r w:rsidR="00034C85" w:rsidRPr="00151A7A">
        <w:rPr>
          <w:szCs w:val="24"/>
          <w:lang w:val="en-GB"/>
        </w:rPr>
        <w:t>+49 69 9566-33528</w:t>
      </w:r>
    </w:p>
    <w:p w14:paraId="4C2101E5" w14:textId="20E45951" w:rsidR="0053586B" w:rsidRPr="00151A7A" w:rsidRDefault="007E7A2F" w:rsidP="0053586B">
      <w:pPr>
        <w:rPr>
          <w:szCs w:val="24"/>
          <w:lang w:val="en-GB"/>
        </w:rPr>
      </w:pPr>
      <w:r w:rsidRPr="00151A7A">
        <w:rPr>
          <w:szCs w:val="24"/>
          <w:lang w:val="en-GB"/>
        </w:rPr>
        <w:t xml:space="preserve">- </w:t>
      </w:r>
      <w:r w:rsidR="0053586B" w:rsidRPr="00151A7A">
        <w:rPr>
          <w:szCs w:val="24"/>
          <w:lang w:val="en-GB"/>
        </w:rPr>
        <w:t xml:space="preserve">Ann-Kristin Gonska, </w:t>
      </w:r>
      <w:hyperlink r:id="rId11" w:history="1">
        <w:r w:rsidR="00245077" w:rsidRPr="00151A7A">
          <w:rPr>
            <w:rStyle w:val="Hyperlink"/>
            <w:szCs w:val="24"/>
            <w:lang w:val="en-GB"/>
          </w:rPr>
          <w:t>ann-kristin.gonska@bundesbank.de</w:t>
        </w:r>
      </w:hyperlink>
      <w:r w:rsidR="00151A7A" w:rsidRPr="00151A7A">
        <w:rPr>
          <w:szCs w:val="24"/>
          <w:lang w:val="en-GB"/>
        </w:rPr>
        <w:t xml:space="preserve">, </w:t>
      </w:r>
      <w:r w:rsidR="0053586B" w:rsidRPr="007E7A2F">
        <w:rPr>
          <w:szCs w:val="24"/>
          <w:lang w:val="en-GB"/>
        </w:rPr>
        <w:t>+49 69 9566-14278</w:t>
      </w:r>
    </w:p>
    <w:p w14:paraId="29529AD7" w14:textId="77777777" w:rsidR="0053586B" w:rsidRPr="007E7A2F" w:rsidRDefault="0053586B" w:rsidP="0053586B">
      <w:pPr>
        <w:rPr>
          <w:szCs w:val="24"/>
          <w:lang w:val="en-GB"/>
        </w:rPr>
      </w:pPr>
      <w:r w:rsidRPr="007E7A2F">
        <w:rPr>
          <w:szCs w:val="24"/>
          <w:lang w:val="en-GB"/>
        </w:rPr>
        <w:t xml:space="preserve">- </w:t>
      </w:r>
      <w:hyperlink r:id="rId12" w:history="1">
        <w:r w:rsidRPr="007E7A2F">
          <w:rPr>
            <w:rStyle w:val="Hyperlink"/>
            <w:szCs w:val="24"/>
            <w:lang w:val="en-GB"/>
          </w:rPr>
          <w:t>t2s-fam@bundesbank.de</w:t>
        </w:r>
      </w:hyperlink>
      <w:r w:rsidRPr="007E7A2F">
        <w:rPr>
          <w:szCs w:val="24"/>
          <w:lang w:val="en-GB"/>
        </w:rPr>
        <w:t xml:space="preserve"> </w:t>
      </w:r>
    </w:p>
    <w:p w14:paraId="07AA653F" w14:textId="77777777" w:rsidR="00CE5EEA" w:rsidRDefault="00CE5EEA" w:rsidP="008438AF">
      <w:pPr>
        <w:rPr>
          <w:szCs w:val="24"/>
          <w:lang w:val="en-GB"/>
        </w:rPr>
      </w:pPr>
    </w:p>
    <w:p w14:paraId="25E92BB5" w14:textId="754B8871"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3A8DA5B4" w14:textId="496BB6A0" w:rsidR="0089798A" w:rsidRDefault="0089798A" w:rsidP="008438AF">
      <w:pPr>
        <w:rPr>
          <w:szCs w:val="24"/>
          <w:lang w:val="en-GB"/>
        </w:rPr>
      </w:pPr>
      <w:r>
        <w:rPr>
          <w:szCs w:val="24"/>
          <w:lang w:val="en-GB"/>
        </w:rPr>
        <w:t>Swift (alignment with latest version)</w:t>
      </w:r>
    </w:p>
    <w:p w14:paraId="68FD5543" w14:textId="77777777" w:rsidR="00CE5EEA" w:rsidRDefault="00CE5EEA" w:rsidP="008438AF">
      <w:pPr>
        <w:rPr>
          <w:szCs w:val="24"/>
          <w:lang w:val="en-GB"/>
        </w:rPr>
      </w:pPr>
    </w:p>
    <w:p w14:paraId="78D2CD79" w14:textId="2EBC8A0C" w:rsidR="00E63839" w:rsidRPr="00EA3A98" w:rsidRDefault="00854FA6" w:rsidP="00854FA6">
      <w:pPr>
        <w:numPr>
          <w:ilvl w:val="0"/>
          <w:numId w:val="6"/>
        </w:numPr>
        <w:rPr>
          <w:b/>
          <w:lang w:val="en-GB"/>
        </w:rPr>
      </w:pPr>
      <w:r>
        <w:rPr>
          <w:b/>
          <w:lang w:val="en-GB"/>
        </w:rPr>
        <w:t>Related m</w:t>
      </w:r>
      <w:r w:rsidRPr="00451986">
        <w:rPr>
          <w:b/>
          <w:lang w:val="en-GB"/>
        </w:rPr>
        <w:t>essages:</w:t>
      </w:r>
    </w:p>
    <w:p w14:paraId="0791F6E7" w14:textId="038DC243" w:rsidR="00E63839" w:rsidRDefault="00E63839" w:rsidP="00854FA6">
      <w:pPr>
        <w:rPr>
          <w:szCs w:val="24"/>
          <w:lang w:val="en-GB"/>
        </w:rPr>
      </w:pPr>
    </w:p>
    <w:p w14:paraId="0E274477" w14:textId="54739061" w:rsidR="000D7657" w:rsidRDefault="000D7657" w:rsidP="00854FA6">
      <w:pPr>
        <w:rPr>
          <w:b/>
          <w:bCs/>
          <w:szCs w:val="24"/>
          <w:lang w:val="en-GB"/>
        </w:rPr>
      </w:pPr>
      <w:r w:rsidRPr="000D7657">
        <w:rPr>
          <w:b/>
          <w:bCs/>
          <w:szCs w:val="24"/>
          <w:lang w:val="en-GB"/>
        </w:rPr>
        <w:t>Intra-Balance messages</w:t>
      </w:r>
    </w:p>
    <w:p w14:paraId="63E6841D" w14:textId="77777777" w:rsidR="000D7657" w:rsidRPr="000D7657" w:rsidRDefault="000D7657" w:rsidP="00854FA6">
      <w:pPr>
        <w:rPr>
          <w:b/>
          <w:bCs/>
          <w:szCs w:val="24"/>
          <w:lang w:val="en-GB"/>
        </w:rPr>
      </w:pPr>
    </w:p>
    <w:tbl>
      <w:tblPr>
        <w:tblW w:w="8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723"/>
      </w:tblGrid>
      <w:tr w:rsidR="000648A8" w14:paraId="1ABF91AB" w14:textId="77777777" w:rsidTr="00EA3A98">
        <w:trPr>
          <w:cantSplit/>
          <w:tblHeader/>
        </w:trPr>
        <w:tc>
          <w:tcPr>
            <w:tcW w:w="225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C858B14" w14:textId="6FCCD083" w:rsidR="000648A8" w:rsidRDefault="000648A8" w:rsidP="000648A8">
            <w:pPr>
              <w:pStyle w:val="TableHeading"/>
            </w:pPr>
            <w:r w:rsidRPr="00290FC6">
              <w:t>Message Identifier</w:t>
            </w:r>
          </w:p>
        </w:tc>
        <w:tc>
          <w:tcPr>
            <w:tcW w:w="6723"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E2D3B31" w14:textId="2F9FB23D" w:rsidR="000648A8" w:rsidRPr="0059667D" w:rsidRDefault="000648A8" w:rsidP="000648A8">
            <w:pPr>
              <w:pStyle w:val="TableHeading"/>
            </w:pPr>
            <w:proofErr w:type="spellStart"/>
            <w:r>
              <w:t>Message</w:t>
            </w:r>
            <w:r w:rsidRPr="0059667D">
              <w:t>Definition</w:t>
            </w:r>
            <w:proofErr w:type="spellEnd"/>
          </w:p>
        </w:tc>
      </w:tr>
      <w:tr w:rsidR="000648A8" w14:paraId="572CAD2A" w14:textId="77777777" w:rsidTr="00EA3A98">
        <w:tc>
          <w:tcPr>
            <w:tcW w:w="2250" w:type="dxa"/>
            <w:shd w:val="clear" w:color="auto" w:fill="FFFFFF"/>
          </w:tcPr>
          <w:p w14:paraId="3185BA6B" w14:textId="665C2616" w:rsidR="000648A8" w:rsidRPr="008F469E" w:rsidRDefault="000648A8" w:rsidP="000648A8">
            <w:pPr>
              <w:pStyle w:val="TableText"/>
            </w:pPr>
            <w:r w:rsidRPr="00290FC6">
              <w:t>camt.066</w:t>
            </w:r>
            <w:r w:rsidR="00EA3A98">
              <w:t>.001.02</w:t>
            </w:r>
          </w:p>
        </w:tc>
        <w:tc>
          <w:tcPr>
            <w:tcW w:w="6723" w:type="dxa"/>
            <w:shd w:val="clear" w:color="auto" w:fill="FFFFFF"/>
          </w:tcPr>
          <w:p w14:paraId="42440C23" w14:textId="4EF89555" w:rsidR="000648A8" w:rsidRPr="008F469E" w:rsidRDefault="000648A8" w:rsidP="000648A8">
            <w:pPr>
              <w:pStyle w:val="TableText"/>
            </w:pPr>
            <w:r w:rsidRPr="008F469E">
              <w:t>Intra-balance Movement Instruction</w:t>
            </w:r>
          </w:p>
        </w:tc>
      </w:tr>
      <w:tr w:rsidR="000648A8" w14:paraId="75431E3D" w14:textId="77777777" w:rsidTr="00EA3A98">
        <w:tc>
          <w:tcPr>
            <w:tcW w:w="2250" w:type="dxa"/>
            <w:shd w:val="clear" w:color="auto" w:fill="FFFFFF"/>
          </w:tcPr>
          <w:p w14:paraId="5D0B7D12" w14:textId="5CE89D94" w:rsidR="000648A8" w:rsidRPr="008F469E" w:rsidRDefault="000648A8" w:rsidP="000648A8">
            <w:pPr>
              <w:pStyle w:val="TableText"/>
            </w:pPr>
            <w:r w:rsidRPr="00290FC6">
              <w:t>camt.067</w:t>
            </w:r>
            <w:r w:rsidR="00EA3A98">
              <w:t>.001.02</w:t>
            </w:r>
          </w:p>
        </w:tc>
        <w:tc>
          <w:tcPr>
            <w:tcW w:w="6723" w:type="dxa"/>
            <w:shd w:val="clear" w:color="auto" w:fill="FFFFFF"/>
          </w:tcPr>
          <w:p w14:paraId="67FC05D0" w14:textId="48B4D991" w:rsidR="000648A8" w:rsidRPr="008F469E" w:rsidRDefault="000648A8" w:rsidP="000648A8">
            <w:pPr>
              <w:pStyle w:val="TableText"/>
            </w:pPr>
            <w:r w:rsidRPr="008F469E">
              <w:t>Intra-balance Movement Status Advice</w:t>
            </w:r>
          </w:p>
        </w:tc>
      </w:tr>
      <w:tr w:rsidR="000648A8" w14:paraId="5F665962" w14:textId="77777777" w:rsidTr="00EA3A98">
        <w:tc>
          <w:tcPr>
            <w:tcW w:w="2250" w:type="dxa"/>
            <w:shd w:val="clear" w:color="auto" w:fill="FFFFFF"/>
          </w:tcPr>
          <w:p w14:paraId="429522C5" w14:textId="550B062F" w:rsidR="000648A8" w:rsidRPr="008F469E" w:rsidRDefault="000648A8" w:rsidP="000648A8">
            <w:pPr>
              <w:pStyle w:val="TableText"/>
            </w:pPr>
            <w:r w:rsidRPr="00290FC6">
              <w:t>camt.068</w:t>
            </w:r>
            <w:r w:rsidR="00EA3A98">
              <w:t>.001.02</w:t>
            </w:r>
          </w:p>
        </w:tc>
        <w:tc>
          <w:tcPr>
            <w:tcW w:w="6723" w:type="dxa"/>
            <w:shd w:val="clear" w:color="auto" w:fill="FFFFFF"/>
          </w:tcPr>
          <w:p w14:paraId="2AEBFEFA" w14:textId="166F301A" w:rsidR="000648A8" w:rsidRPr="008F469E" w:rsidRDefault="000648A8" w:rsidP="000648A8">
            <w:pPr>
              <w:pStyle w:val="TableText"/>
            </w:pPr>
            <w:r w:rsidRPr="008F469E">
              <w:t>Intra-balance Movement Confirmation</w:t>
            </w:r>
          </w:p>
        </w:tc>
      </w:tr>
      <w:tr w:rsidR="000648A8" w:rsidRPr="00151A7A" w14:paraId="239CF6B2" w14:textId="77777777" w:rsidTr="00EA3A98">
        <w:tc>
          <w:tcPr>
            <w:tcW w:w="2250" w:type="dxa"/>
            <w:shd w:val="clear" w:color="auto" w:fill="FFFFFF"/>
          </w:tcPr>
          <w:p w14:paraId="14DF896B" w14:textId="5454F06A" w:rsidR="000648A8" w:rsidRPr="008F469E" w:rsidRDefault="000648A8" w:rsidP="000648A8">
            <w:pPr>
              <w:pStyle w:val="TableText"/>
            </w:pPr>
            <w:r w:rsidRPr="00290FC6">
              <w:lastRenderedPageBreak/>
              <w:t>camt.072</w:t>
            </w:r>
            <w:r w:rsidR="00EA3A98">
              <w:t>.001.02</w:t>
            </w:r>
          </w:p>
        </w:tc>
        <w:tc>
          <w:tcPr>
            <w:tcW w:w="6723" w:type="dxa"/>
            <w:shd w:val="clear" w:color="auto" w:fill="FFFFFF"/>
          </w:tcPr>
          <w:p w14:paraId="747FE27C" w14:textId="6E6ADE50" w:rsidR="000648A8" w:rsidRPr="00151A7A" w:rsidRDefault="000648A8" w:rsidP="000648A8">
            <w:pPr>
              <w:pStyle w:val="TableText"/>
              <w:rPr>
                <w:lang w:val="fr-FR"/>
              </w:rPr>
            </w:pPr>
            <w:r w:rsidRPr="00151A7A">
              <w:rPr>
                <w:lang w:val="fr-FR"/>
              </w:rPr>
              <w:t xml:space="preserve">Intra-balance </w:t>
            </w:r>
            <w:proofErr w:type="spellStart"/>
            <w:r w:rsidRPr="00151A7A">
              <w:rPr>
                <w:lang w:val="fr-FR"/>
              </w:rPr>
              <w:t>Movement</w:t>
            </w:r>
            <w:proofErr w:type="spellEnd"/>
            <w:r w:rsidRPr="00151A7A">
              <w:rPr>
                <w:lang w:val="fr-FR"/>
              </w:rPr>
              <w:t xml:space="preserve"> Modification </w:t>
            </w:r>
            <w:proofErr w:type="spellStart"/>
            <w:r w:rsidRPr="00151A7A">
              <w:rPr>
                <w:lang w:val="fr-FR"/>
              </w:rPr>
              <w:t>Request</w:t>
            </w:r>
            <w:proofErr w:type="spellEnd"/>
          </w:p>
        </w:tc>
      </w:tr>
      <w:tr w:rsidR="000648A8" w14:paraId="4677FC91" w14:textId="77777777" w:rsidTr="00EA3A98">
        <w:tc>
          <w:tcPr>
            <w:tcW w:w="2250" w:type="dxa"/>
            <w:shd w:val="clear" w:color="auto" w:fill="FFFFFF"/>
          </w:tcPr>
          <w:p w14:paraId="27EF5751" w14:textId="52D84F12" w:rsidR="000648A8" w:rsidRPr="008F469E" w:rsidRDefault="000648A8" w:rsidP="000648A8">
            <w:pPr>
              <w:pStyle w:val="TableText"/>
            </w:pPr>
            <w:r w:rsidRPr="00290FC6">
              <w:t>camt.073</w:t>
            </w:r>
            <w:r w:rsidR="00EA3A98">
              <w:t>.001.02</w:t>
            </w:r>
          </w:p>
        </w:tc>
        <w:tc>
          <w:tcPr>
            <w:tcW w:w="6723" w:type="dxa"/>
            <w:shd w:val="clear" w:color="auto" w:fill="FFFFFF"/>
          </w:tcPr>
          <w:p w14:paraId="57B0C6C1" w14:textId="21D949C2" w:rsidR="000648A8" w:rsidRPr="008F469E" w:rsidRDefault="000648A8" w:rsidP="000648A8">
            <w:pPr>
              <w:pStyle w:val="TableText"/>
            </w:pPr>
            <w:r w:rsidRPr="008F469E">
              <w:t>Intra-balance Movement Modification Request Status Advice</w:t>
            </w:r>
          </w:p>
        </w:tc>
      </w:tr>
      <w:tr w:rsidR="000648A8" w:rsidRPr="00454F49" w14:paraId="3E067A93" w14:textId="77777777" w:rsidTr="00EA3A98">
        <w:tc>
          <w:tcPr>
            <w:tcW w:w="2250" w:type="dxa"/>
            <w:shd w:val="clear" w:color="auto" w:fill="FFFFFF"/>
          </w:tcPr>
          <w:p w14:paraId="00037BCA" w14:textId="7024E1B7" w:rsidR="000648A8" w:rsidRPr="008F469E" w:rsidRDefault="000648A8" w:rsidP="000648A8">
            <w:pPr>
              <w:pStyle w:val="TableText"/>
              <w:rPr>
                <w:lang w:val="fr-FR"/>
              </w:rPr>
            </w:pPr>
            <w:r w:rsidRPr="00290FC6">
              <w:t>camt.074</w:t>
            </w:r>
            <w:r w:rsidR="00EA3A98">
              <w:t>.001.02</w:t>
            </w:r>
          </w:p>
        </w:tc>
        <w:tc>
          <w:tcPr>
            <w:tcW w:w="6723" w:type="dxa"/>
            <w:shd w:val="clear" w:color="auto" w:fill="FFFFFF"/>
          </w:tcPr>
          <w:p w14:paraId="042119A0" w14:textId="67B403D2" w:rsidR="000648A8" w:rsidRPr="008F469E" w:rsidRDefault="000648A8" w:rsidP="000648A8">
            <w:pPr>
              <w:pStyle w:val="TableText"/>
              <w:rPr>
                <w:lang w:val="fr-FR"/>
              </w:rPr>
            </w:pPr>
            <w:r w:rsidRPr="008F469E">
              <w:rPr>
                <w:lang w:val="fr-FR"/>
              </w:rPr>
              <w:t xml:space="preserve">Intra-balance </w:t>
            </w:r>
            <w:proofErr w:type="spellStart"/>
            <w:r w:rsidRPr="008F469E">
              <w:rPr>
                <w:lang w:val="fr-FR"/>
              </w:rPr>
              <w:t>Movement</w:t>
            </w:r>
            <w:proofErr w:type="spellEnd"/>
            <w:r w:rsidRPr="008F469E">
              <w:rPr>
                <w:lang w:val="fr-FR"/>
              </w:rPr>
              <w:t xml:space="preserve"> </w:t>
            </w:r>
            <w:proofErr w:type="spellStart"/>
            <w:r w:rsidRPr="008F469E">
              <w:rPr>
                <w:lang w:val="fr-FR"/>
              </w:rPr>
              <w:t>Cancellation</w:t>
            </w:r>
            <w:proofErr w:type="spellEnd"/>
            <w:r w:rsidRPr="008F469E">
              <w:rPr>
                <w:lang w:val="fr-FR"/>
              </w:rPr>
              <w:t xml:space="preserve"> </w:t>
            </w:r>
            <w:proofErr w:type="spellStart"/>
            <w:r w:rsidRPr="008F469E">
              <w:rPr>
                <w:lang w:val="fr-FR"/>
              </w:rPr>
              <w:t>Request</w:t>
            </w:r>
            <w:proofErr w:type="spellEnd"/>
          </w:p>
        </w:tc>
      </w:tr>
      <w:tr w:rsidR="000648A8" w14:paraId="1CDFF3D1" w14:textId="77777777" w:rsidTr="00EA3A98">
        <w:tc>
          <w:tcPr>
            <w:tcW w:w="2250" w:type="dxa"/>
            <w:shd w:val="clear" w:color="auto" w:fill="FFFFFF"/>
          </w:tcPr>
          <w:p w14:paraId="438D3CA9" w14:textId="51F41933" w:rsidR="000648A8" w:rsidRPr="000648A8" w:rsidRDefault="000648A8" w:rsidP="000648A8">
            <w:pPr>
              <w:pStyle w:val="TableText"/>
              <w:rPr>
                <w:lang w:val="fr-BE"/>
              </w:rPr>
            </w:pPr>
            <w:r w:rsidRPr="00290FC6">
              <w:t>camt.075</w:t>
            </w:r>
            <w:r w:rsidR="00EA3A98">
              <w:t>.001.02</w:t>
            </w:r>
          </w:p>
        </w:tc>
        <w:tc>
          <w:tcPr>
            <w:tcW w:w="6723" w:type="dxa"/>
            <w:shd w:val="clear" w:color="auto" w:fill="FFFFFF"/>
          </w:tcPr>
          <w:p w14:paraId="19992B87" w14:textId="67CD218E" w:rsidR="000648A8" w:rsidRPr="008F469E" w:rsidRDefault="000648A8" w:rsidP="000648A8">
            <w:pPr>
              <w:pStyle w:val="TableText"/>
            </w:pPr>
            <w:r w:rsidRPr="008F469E">
              <w:t>Intra-balance Movement Cancellation Request Status Advice</w:t>
            </w:r>
          </w:p>
        </w:tc>
      </w:tr>
      <w:tr w:rsidR="000648A8" w14:paraId="02D1020B" w14:textId="77777777" w:rsidTr="00EA3A98">
        <w:tc>
          <w:tcPr>
            <w:tcW w:w="2250" w:type="dxa"/>
            <w:shd w:val="clear" w:color="auto" w:fill="FFFFFF"/>
          </w:tcPr>
          <w:p w14:paraId="7E119E2C" w14:textId="1C778CC6" w:rsidR="000648A8" w:rsidRPr="008F469E" w:rsidRDefault="000648A8" w:rsidP="000648A8">
            <w:pPr>
              <w:pStyle w:val="TableText"/>
            </w:pPr>
            <w:r w:rsidRPr="00290FC6">
              <w:t>camt.078</w:t>
            </w:r>
            <w:r w:rsidR="00EA3A98">
              <w:t>.001.02</w:t>
            </w:r>
          </w:p>
        </w:tc>
        <w:tc>
          <w:tcPr>
            <w:tcW w:w="6723" w:type="dxa"/>
            <w:shd w:val="clear" w:color="auto" w:fill="FFFFFF"/>
          </w:tcPr>
          <w:p w14:paraId="569966ED" w14:textId="41769A7E" w:rsidR="000648A8" w:rsidRPr="008F469E" w:rsidRDefault="000648A8" w:rsidP="000648A8">
            <w:pPr>
              <w:pStyle w:val="TableText"/>
            </w:pPr>
            <w:r w:rsidRPr="008F469E">
              <w:t>Intra-balance Movement Query</w:t>
            </w:r>
          </w:p>
        </w:tc>
      </w:tr>
      <w:tr w:rsidR="000648A8" w14:paraId="4FCDF03E" w14:textId="77777777" w:rsidTr="00EA3A98">
        <w:tc>
          <w:tcPr>
            <w:tcW w:w="2250" w:type="dxa"/>
            <w:shd w:val="clear" w:color="auto" w:fill="FFFFFF"/>
          </w:tcPr>
          <w:p w14:paraId="0E4FE8DD" w14:textId="31605A34" w:rsidR="000648A8" w:rsidRPr="008F469E" w:rsidRDefault="000648A8" w:rsidP="000648A8">
            <w:pPr>
              <w:pStyle w:val="TableText"/>
            </w:pPr>
            <w:r w:rsidRPr="00290FC6">
              <w:t>camt.079</w:t>
            </w:r>
            <w:r w:rsidR="00EA3A98">
              <w:t>.001.02</w:t>
            </w:r>
          </w:p>
        </w:tc>
        <w:tc>
          <w:tcPr>
            <w:tcW w:w="6723" w:type="dxa"/>
            <w:shd w:val="clear" w:color="auto" w:fill="FFFFFF"/>
          </w:tcPr>
          <w:p w14:paraId="27481965" w14:textId="6926BDE5" w:rsidR="000648A8" w:rsidRPr="008F469E" w:rsidRDefault="000648A8" w:rsidP="000648A8">
            <w:pPr>
              <w:pStyle w:val="TableText"/>
            </w:pPr>
            <w:r w:rsidRPr="008F469E">
              <w:t>Intra-balance Movement Query Response</w:t>
            </w:r>
          </w:p>
        </w:tc>
      </w:tr>
      <w:tr w:rsidR="000648A8" w14:paraId="7D6B74F7" w14:textId="77777777" w:rsidTr="00EA3A98">
        <w:tc>
          <w:tcPr>
            <w:tcW w:w="2250" w:type="dxa"/>
            <w:shd w:val="clear" w:color="auto" w:fill="FFFFFF"/>
          </w:tcPr>
          <w:p w14:paraId="6CCF74C0" w14:textId="0BE2FA99" w:rsidR="000648A8" w:rsidRPr="000648A8" w:rsidRDefault="000648A8" w:rsidP="000648A8">
            <w:pPr>
              <w:pStyle w:val="TableText"/>
              <w:rPr>
                <w:lang w:val="fr-BE"/>
              </w:rPr>
            </w:pPr>
            <w:r w:rsidRPr="00290FC6">
              <w:t>camt.081</w:t>
            </w:r>
            <w:r w:rsidR="00EA3A98">
              <w:t>.001.02</w:t>
            </w:r>
          </w:p>
        </w:tc>
        <w:tc>
          <w:tcPr>
            <w:tcW w:w="6723" w:type="dxa"/>
            <w:shd w:val="clear" w:color="auto" w:fill="FFFFFF"/>
          </w:tcPr>
          <w:p w14:paraId="09D5D18D" w14:textId="77F0D2AF" w:rsidR="000648A8" w:rsidRPr="008F469E" w:rsidRDefault="000648A8" w:rsidP="000648A8">
            <w:pPr>
              <w:pStyle w:val="TableText"/>
            </w:pPr>
            <w:r w:rsidRPr="008F469E">
              <w:t>Intra-balance Movement Modification Report</w:t>
            </w:r>
          </w:p>
        </w:tc>
      </w:tr>
      <w:tr w:rsidR="000648A8" w14:paraId="6891C2F8" w14:textId="77777777" w:rsidTr="00EA3A98">
        <w:tc>
          <w:tcPr>
            <w:tcW w:w="2250" w:type="dxa"/>
            <w:shd w:val="clear" w:color="auto" w:fill="FFFFFF"/>
          </w:tcPr>
          <w:p w14:paraId="2A828274" w14:textId="2D056B43" w:rsidR="000648A8" w:rsidRPr="000648A8" w:rsidRDefault="000648A8" w:rsidP="000648A8">
            <w:pPr>
              <w:pStyle w:val="TableText"/>
              <w:rPr>
                <w:lang w:val="fr-BE"/>
              </w:rPr>
            </w:pPr>
            <w:r w:rsidRPr="00290FC6">
              <w:t>camt.083</w:t>
            </w:r>
            <w:r w:rsidR="00EA3A98">
              <w:t>.001.02</w:t>
            </w:r>
          </w:p>
        </w:tc>
        <w:tc>
          <w:tcPr>
            <w:tcW w:w="6723" w:type="dxa"/>
            <w:shd w:val="clear" w:color="auto" w:fill="FFFFFF"/>
          </w:tcPr>
          <w:p w14:paraId="6B4A84C0" w14:textId="11029107" w:rsidR="000648A8" w:rsidRPr="008F469E" w:rsidRDefault="000648A8" w:rsidP="000648A8">
            <w:pPr>
              <w:pStyle w:val="TableText"/>
            </w:pPr>
            <w:r w:rsidRPr="008F469E">
              <w:t>Intra-balance Movement Cancellation Report</w:t>
            </w:r>
          </w:p>
        </w:tc>
      </w:tr>
      <w:tr w:rsidR="000648A8" w14:paraId="322E0B78" w14:textId="77777777" w:rsidTr="00EA3A98">
        <w:tc>
          <w:tcPr>
            <w:tcW w:w="2250" w:type="dxa"/>
            <w:shd w:val="clear" w:color="auto" w:fill="FFFFFF"/>
          </w:tcPr>
          <w:p w14:paraId="4606DC4E" w14:textId="43F0BED5" w:rsidR="000648A8" w:rsidRPr="008F469E" w:rsidRDefault="000648A8" w:rsidP="000648A8">
            <w:pPr>
              <w:pStyle w:val="TableText"/>
            </w:pPr>
            <w:r w:rsidRPr="00290FC6">
              <w:t>camt.084</w:t>
            </w:r>
            <w:r w:rsidR="00EA3A98">
              <w:t>.001.02</w:t>
            </w:r>
          </w:p>
        </w:tc>
        <w:tc>
          <w:tcPr>
            <w:tcW w:w="6723" w:type="dxa"/>
            <w:shd w:val="clear" w:color="auto" w:fill="FFFFFF"/>
          </w:tcPr>
          <w:p w14:paraId="3AF1A0ED" w14:textId="14B6DB47" w:rsidR="000648A8" w:rsidRPr="008F469E" w:rsidRDefault="000648A8" w:rsidP="000648A8">
            <w:pPr>
              <w:pStyle w:val="TableText"/>
            </w:pPr>
            <w:r w:rsidRPr="008F469E">
              <w:t>Intra-balance Movement Posting Report</w:t>
            </w:r>
          </w:p>
        </w:tc>
      </w:tr>
      <w:tr w:rsidR="000648A8" w14:paraId="21671C94" w14:textId="77777777" w:rsidTr="00EA3A98">
        <w:tc>
          <w:tcPr>
            <w:tcW w:w="2250" w:type="dxa"/>
            <w:shd w:val="clear" w:color="auto" w:fill="FFFFFF"/>
          </w:tcPr>
          <w:p w14:paraId="042C2BF5" w14:textId="05D5D4E3" w:rsidR="000648A8" w:rsidRPr="008F469E" w:rsidRDefault="000648A8" w:rsidP="000648A8">
            <w:pPr>
              <w:pStyle w:val="TableText"/>
            </w:pPr>
            <w:r w:rsidRPr="00290FC6">
              <w:t>camt.085</w:t>
            </w:r>
            <w:r w:rsidR="00EA3A98">
              <w:t>.001.02</w:t>
            </w:r>
          </w:p>
        </w:tc>
        <w:tc>
          <w:tcPr>
            <w:tcW w:w="6723" w:type="dxa"/>
            <w:shd w:val="clear" w:color="auto" w:fill="FFFFFF"/>
          </w:tcPr>
          <w:p w14:paraId="2B7AB7F6" w14:textId="686EF7FA" w:rsidR="000648A8" w:rsidRPr="008F469E" w:rsidRDefault="000648A8" w:rsidP="000648A8">
            <w:pPr>
              <w:pStyle w:val="TableText"/>
            </w:pPr>
            <w:r w:rsidRPr="008F469E">
              <w:t>Intra-balance Movement Pending Report</w:t>
            </w:r>
          </w:p>
        </w:tc>
      </w:tr>
    </w:tbl>
    <w:p w14:paraId="49431945" w14:textId="77777777" w:rsidR="001F6998" w:rsidRDefault="001F6998" w:rsidP="00854FA6">
      <w:pPr>
        <w:rPr>
          <w:b/>
          <w:lang w:val="en-GB"/>
        </w:rPr>
      </w:pPr>
    </w:p>
    <w:p w14:paraId="1CAFAFD2" w14:textId="3D5E3486" w:rsidR="00F23FD5" w:rsidRDefault="00F23FD5" w:rsidP="00854FA6">
      <w:pPr>
        <w:rPr>
          <w:b/>
        </w:rPr>
      </w:pPr>
      <w:r>
        <w:rPr>
          <w:b/>
        </w:rPr>
        <w:t>Securities Reference Data messages</w:t>
      </w:r>
    </w:p>
    <w:p w14:paraId="5E6790BD" w14:textId="77777777" w:rsidR="00F23FD5" w:rsidRDefault="00F23FD5" w:rsidP="00854FA6">
      <w:pPr>
        <w:rPr>
          <w:b/>
        </w:rPr>
      </w:pPr>
    </w:p>
    <w:tbl>
      <w:tblPr>
        <w:tblW w:w="8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723"/>
      </w:tblGrid>
      <w:tr w:rsidR="00F23FD5" w14:paraId="037F97B4" w14:textId="77777777" w:rsidTr="00F3343F">
        <w:trPr>
          <w:cantSplit/>
          <w:tblHeader/>
        </w:trPr>
        <w:tc>
          <w:tcPr>
            <w:tcW w:w="225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015EBA8" w14:textId="77777777" w:rsidR="00F23FD5" w:rsidRDefault="00F23FD5" w:rsidP="00F3343F">
            <w:pPr>
              <w:pStyle w:val="TableHeading"/>
            </w:pPr>
            <w:r w:rsidRPr="00290FC6">
              <w:t>Message Identifier</w:t>
            </w:r>
          </w:p>
        </w:tc>
        <w:tc>
          <w:tcPr>
            <w:tcW w:w="6723"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73FE729B" w14:textId="77777777" w:rsidR="00F23FD5" w:rsidRPr="0059667D" w:rsidRDefault="00F23FD5" w:rsidP="00F3343F">
            <w:pPr>
              <w:pStyle w:val="TableHeading"/>
            </w:pPr>
            <w:proofErr w:type="spellStart"/>
            <w:r>
              <w:t>Message</w:t>
            </w:r>
            <w:r w:rsidRPr="0059667D">
              <w:t>Definition</w:t>
            </w:r>
            <w:proofErr w:type="spellEnd"/>
          </w:p>
        </w:tc>
      </w:tr>
      <w:tr w:rsidR="00F23FD5" w14:paraId="2831377D" w14:textId="77777777" w:rsidTr="00F3343F">
        <w:tc>
          <w:tcPr>
            <w:tcW w:w="2250" w:type="dxa"/>
            <w:shd w:val="clear" w:color="auto" w:fill="FFFFFF"/>
          </w:tcPr>
          <w:p w14:paraId="50EB7D60" w14:textId="21EC30BC" w:rsidR="00F23FD5" w:rsidRPr="008F469E" w:rsidRDefault="00F23FD5" w:rsidP="00F3343F">
            <w:pPr>
              <w:pStyle w:val="TableText"/>
            </w:pPr>
            <w:r>
              <w:t>reda.006.001.01</w:t>
            </w:r>
          </w:p>
        </w:tc>
        <w:tc>
          <w:tcPr>
            <w:tcW w:w="6723" w:type="dxa"/>
            <w:shd w:val="clear" w:color="auto" w:fill="FFFFFF"/>
          </w:tcPr>
          <w:p w14:paraId="7535B36C" w14:textId="21EC7319" w:rsidR="00F23FD5" w:rsidRPr="008F469E" w:rsidRDefault="00F23FD5" w:rsidP="00F3343F">
            <w:pPr>
              <w:pStyle w:val="TableText"/>
            </w:pPr>
            <w:r>
              <w:t xml:space="preserve">Security </w:t>
            </w:r>
            <w:r w:rsidR="001E6F79">
              <w:t>Creation Request</w:t>
            </w:r>
          </w:p>
        </w:tc>
      </w:tr>
      <w:tr w:rsidR="00F23FD5" w14:paraId="4C6D9885" w14:textId="77777777" w:rsidTr="00F3343F">
        <w:tc>
          <w:tcPr>
            <w:tcW w:w="2250" w:type="dxa"/>
            <w:shd w:val="clear" w:color="auto" w:fill="FFFFFF"/>
          </w:tcPr>
          <w:p w14:paraId="032A76A1" w14:textId="36F7A815" w:rsidR="00F23FD5" w:rsidRPr="008F469E" w:rsidRDefault="00F23FD5" w:rsidP="00F3343F">
            <w:pPr>
              <w:pStyle w:val="TableText"/>
            </w:pPr>
            <w:r>
              <w:t>reda.007.001.01</w:t>
            </w:r>
          </w:p>
        </w:tc>
        <w:tc>
          <w:tcPr>
            <w:tcW w:w="6723" w:type="dxa"/>
            <w:shd w:val="clear" w:color="auto" w:fill="FFFFFF"/>
          </w:tcPr>
          <w:p w14:paraId="0F15A528" w14:textId="3CA8A060" w:rsidR="00F23FD5" w:rsidRPr="008F469E" w:rsidRDefault="002E52FE" w:rsidP="00F3343F">
            <w:pPr>
              <w:pStyle w:val="TableText"/>
            </w:pPr>
            <w:r>
              <w:t>Security Maintenance Request</w:t>
            </w:r>
          </w:p>
        </w:tc>
      </w:tr>
      <w:tr w:rsidR="00F23FD5" w14:paraId="024CBA19" w14:textId="77777777" w:rsidTr="00F3343F">
        <w:tc>
          <w:tcPr>
            <w:tcW w:w="2250" w:type="dxa"/>
            <w:shd w:val="clear" w:color="auto" w:fill="FFFFFF"/>
          </w:tcPr>
          <w:p w14:paraId="083A97ED" w14:textId="199BDC94" w:rsidR="00F23FD5" w:rsidRPr="008F469E" w:rsidRDefault="00F23FD5" w:rsidP="00F23FD5">
            <w:pPr>
              <w:pStyle w:val="TableText"/>
            </w:pPr>
            <w:r>
              <w:t>reda.012.001.01</w:t>
            </w:r>
          </w:p>
        </w:tc>
        <w:tc>
          <w:tcPr>
            <w:tcW w:w="6723" w:type="dxa"/>
            <w:shd w:val="clear" w:color="auto" w:fill="FFFFFF"/>
          </w:tcPr>
          <w:p w14:paraId="4AE3053C" w14:textId="75F369AF" w:rsidR="00F23FD5" w:rsidRPr="008F469E" w:rsidRDefault="00F23FD5" w:rsidP="00F23FD5">
            <w:pPr>
              <w:pStyle w:val="TableText"/>
            </w:pPr>
            <w:r>
              <w:t>Security Report</w:t>
            </w:r>
          </w:p>
        </w:tc>
      </w:tr>
    </w:tbl>
    <w:p w14:paraId="266CC9E6" w14:textId="77777777" w:rsidR="001F3676" w:rsidRDefault="001F3676" w:rsidP="00854FA6">
      <w:pPr>
        <w:rPr>
          <w:b/>
        </w:rPr>
      </w:pPr>
    </w:p>
    <w:p w14:paraId="54760E78" w14:textId="17BC1B37" w:rsidR="00F23FD5" w:rsidRDefault="009305B8" w:rsidP="00854FA6">
      <w:pPr>
        <w:rPr>
          <w:b/>
        </w:rPr>
      </w:pPr>
      <w:r>
        <w:rPr>
          <w:b/>
        </w:rPr>
        <w:t>Collateral management message</w:t>
      </w:r>
    </w:p>
    <w:p w14:paraId="6536D7AF" w14:textId="77777777" w:rsidR="009305B8" w:rsidRDefault="009305B8" w:rsidP="00854FA6">
      <w:pPr>
        <w:rPr>
          <w:b/>
        </w:rPr>
      </w:pPr>
    </w:p>
    <w:tbl>
      <w:tblPr>
        <w:tblW w:w="8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723"/>
      </w:tblGrid>
      <w:tr w:rsidR="006A36DE" w14:paraId="5C185176" w14:textId="77777777" w:rsidTr="00F3343F">
        <w:trPr>
          <w:cantSplit/>
          <w:tblHeader/>
        </w:trPr>
        <w:tc>
          <w:tcPr>
            <w:tcW w:w="225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15A7C98E" w14:textId="77777777" w:rsidR="006A36DE" w:rsidRDefault="006A36DE" w:rsidP="00F3343F">
            <w:pPr>
              <w:pStyle w:val="TableHeading"/>
            </w:pPr>
            <w:r w:rsidRPr="00290FC6">
              <w:t>Message Identifier</w:t>
            </w:r>
          </w:p>
        </w:tc>
        <w:tc>
          <w:tcPr>
            <w:tcW w:w="6723"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0EC1617" w14:textId="77777777" w:rsidR="006A36DE" w:rsidRPr="0059667D" w:rsidRDefault="006A36DE" w:rsidP="00F3343F">
            <w:pPr>
              <w:pStyle w:val="TableHeading"/>
            </w:pPr>
            <w:proofErr w:type="spellStart"/>
            <w:r>
              <w:t>Message</w:t>
            </w:r>
            <w:r w:rsidRPr="0059667D">
              <w:t>Definition</w:t>
            </w:r>
            <w:proofErr w:type="spellEnd"/>
          </w:p>
        </w:tc>
      </w:tr>
      <w:tr w:rsidR="006A36DE" w14:paraId="5BBE223E" w14:textId="77777777" w:rsidTr="00F3343F">
        <w:tc>
          <w:tcPr>
            <w:tcW w:w="2250" w:type="dxa"/>
            <w:shd w:val="clear" w:color="auto" w:fill="FFFFFF"/>
          </w:tcPr>
          <w:p w14:paraId="2BFA054B" w14:textId="1CF82194" w:rsidR="006A36DE" w:rsidRPr="008F469E" w:rsidRDefault="00891A79" w:rsidP="00F3343F">
            <w:pPr>
              <w:pStyle w:val="TableText"/>
            </w:pPr>
            <w:r>
              <w:t>c</w:t>
            </w:r>
            <w:r w:rsidR="006A36DE">
              <w:t>olr.002.001.02</w:t>
            </w:r>
          </w:p>
        </w:tc>
        <w:tc>
          <w:tcPr>
            <w:tcW w:w="6723" w:type="dxa"/>
            <w:shd w:val="clear" w:color="auto" w:fill="FFFFFF"/>
          </w:tcPr>
          <w:p w14:paraId="31A9D787" w14:textId="42D3F744" w:rsidR="006A36DE" w:rsidRPr="008F469E" w:rsidRDefault="006A36DE" w:rsidP="00F3343F">
            <w:pPr>
              <w:pStyle w:val="TableText"/>
            </w:pPr>
            <w:r>
              <w:t>Collateral Value Report</w:t>
            </w:r>
          </w:p>
        </w:tc>
      </w:tr>
    </w:tbl>
    <w:p w14:paraId="22DEA1DC" w14:textId="0D15B849" w:rsidR="006A36DE" w:rsidRDefault="006A36DE" w:rsidP="00854FA6">
      <w:pPr>
        <w:rPr>
          <w:b/>
        </w:rPr>
      </w:pPr>
    </w:p>
    <w:p w14:paraId="2333CF63" w14:textId="77777777" w:rsidR="006A36DE" w:rsidRPr="000D7657" w:rsidRDefault="006A36DE" w:rsidP="00854FA6">
      <w:pPr>
        <w:rPr>
          <w:b/>
        </w:rPr>
      </w:pPr>
    </w:p>
    <w:p w14:paraId="09EDAEAF" w14:textId="77777777" w:rsidR="00854FA6" w:rsidRDefault="006D4A37" w:rsidP="00854FA6">
      <w:pPr>
        <w:numPr>
          <w:ilvl w:val="0"/>
          <w:numId w:val="6"/>
        </w:numPr>
        <w:rPr>
          <w:lang w:val="en-GB"/>
        </w:rPr>
      </w:pPr>
      <w:r>
        <w:rPr>
          <w:b/>
          <w:lang w:val="en-GB"/>
        </w:rPr>
        <w:t>Description of the change request:</w:t>
      </w:r>
    </w:p>
    <w:p w14:paraId="3F54E26E" w14:textId="513C988A" w:rsidR="005D163E" w:rsidRDefault="005D163E" w:rsidP="00AA5E76">
      <w:pPr>
        <w:rPr>
          <w:lang w:val="en-GB"/>
        </w:rPr>
      </w:pPr>
      <w:r>
        <w:rPr>
          <w:lang w:val="en-GB"/>
        </w:rPr>
        <w:t xml:space="preserve">Alignment of </w:t>
      </w:r>
      <w:r w:rsidR="00600AD2">
        <w:rPr>
          <w:lang w:val="en-GB"/>
        </w:rPr>
        <w:t xml:space="preserve">T2S registered messages with </w:t>
      </w:r>
      <w:r w:rsidR="0049713D">
        <w:rPr>
          <w:lang w:val="en-GB"/>
        </w:rPr>
        <w:t xml:space="preserve">approved Change Requests </w:t>
      </w:r>
      <w:r w:rsidR="00103BE1">
        <w:rPr>
          <w:lang w:val="en-GB"/>
        </w:rPr>
        <w:t xml:space="preserve">from the </w:t>
      </w:r>
      <w:r w:rsidR="00FC0455">
        <w:rPr>
          <w:lang w:val="en-GB"/>
        </w:rPr>
        <w:t>Securities Maintenance Release</w:t>
      </w:r>
      <w:r w:rsidR="00F33790">
        <w:rPr>
          <w:lang w:val="en-GB"/>
        </w:rPr>
        <w:t>s (</w:t>
      </w:r>
      <w:r w:rsidR="00FC0455">
        <w:rPr>
          <w:lang w:val="en-GB"/>
        </w:rPr>
        <w:t>2022 and 2023</w:t>
      </w:r>
      <w:r w:rsidR="00F33790">
        <w:rPr>
          <w:lang w:val="en-GB"/>
        </w:rPr>
        <w:t>)</w:t>
      </w:r>
      <w:r w:rsidR="004D4E37">
        <w:rPr>
          <w:lang w:val="en-GB"/>
        </w:rPr>
        <w:t>.</w:t>
      </w:r>
    </w:p>
    <w:p w14:paraId="2990DD52" w14:textId="077ADDAB" w:rsidR="004D4E37" w:rsidRDefault="004D4E37" w:rsidP="00AA5E76">
      <w:pPr>
        <w:rPr>
          <w:lang w:val="en-GB"/>
        </w:rPr>
      </w:pPr>
      <w:r>
        <w:rPr>
          <w:lang w:val="en-GB"/>
        </w:rPr>
        <w:t xml:space="preserve">The above </w:t>
      </w:r>
      <w:r w:rsidR="00891A79">
        <w:rPr>
          <w:lang w:val="en-GB"/>
        </w:rPr>
        <w:t>I</w:t>
      </w:r>
      <w:r>
        <w:rPr>
          <w:lang w:val="en-GB"/>
        </w:rPr>
        <w:t>ntra-</w:t>
      </w:r>
      <w:r w:rsidR="00891A79">
        <w:rPr>
          <w:lang w:val="en-GB"/>
        </w:rPr>
        <w:t>B</w:t>
      </w:r>
      <w:r>
        <w:rPr>
          <w:lang w:val="en-GB"/>
        </w:rPr>
        <w:t>alance</w:t>
      </w:r>
      <w:r w:rsidR="003D42D9">
        <w:rPr>
          <w:lang w:val="en-GB"/>
        </w:rPr>
        <w:t xml:space="preserve">, </w:t>
      </w:r>
      <w:r w:rsidR="009305B8">
        <w:rPr>
          <w:lang w:val="en-GB"/>
        </w:rPr>
        <w:t xml:space="preserve">Securities </w:t>
      </w:r>
      <w:r w:rsidR="003D42D9">
        <w:rPr>
          <w:lang w:val="en-GB"/>
        </w:rPr>
        <w:t>Reference Data and Collateral Management</w:t>
      </w:r>
      <w:r>
        <w:rPr>
          <w:lang w:val="en-GB"/>
        </w:rPr>
        <w:t xml:space="preserve"> messages </w:t>
      </w:r>
      <w:r w:rsidR="00563F89">
        <w:rPr>
          <w:lang w:val="en-GB"/>
        </w:rPr>
        <w:t xml:space="preserve">are </w:t>
      </w:r>
      <w:r w:rsidR="007E2CB5">
        <w:rPr>
          <w:lang w:val="en-GB"/>
        </w:rPr>
        <w:t>impacted</w:t>
      </w:r>
      <w:r w:rsidR="00563F89">
        <w:rPr>
          <w:lang w:val="en-GB"/>
        </w:rPr>
        <w:t xml:space="preserve"> by </w:t>
      </w:r>
      <w:r w:rsidR="00563F89" w:rsidRPr="006F0D07">
        <w:rPr>
          <w:b/>
          <w:bCs/>
          <w:lang w:val="en-GB"/>
        </w:rPr>
        <w:t xml:space="preserve">CR </w:t>
      </w:r>
      <w:r w:rsidR="006F0D07">
        <w:rPr>
          <w:b/>
          <w:bCs/>
          <w:lang w:val="en-GB"/>
        </w:rPr>
        <w:t>-00</w:t>
      </w:r>
      <w:r w:rsidR="00563F89" w:rsidRPr="006F0D07">
        <w:rPr>
          <w:b/>
          <w:bCs/>
          <w:lang w:val="en-GB"/>
        </w:rPr>
        <w:t>1783</w:t>
      </w:r>
      <w:r w:rsidR="00563F89">
        <w:rPr>
          <w:lang w:val="en-GB"/>
        </w:rPr>
        <w:t xml:space="preserve"> </w:t>
      </w:r>
      <w:r w:rsidR="00563F89" w:rsidRPr="00610181">
        <w:rPr>
          <w:i/>
          <w:iCs/>
          <w:lang w:val="en-GB"/>
        </w:rPr>
        <w:t>Add new Format Option for Quantity of Financial Instrument</w:t>
      </w:r>
      <w:r w:rsidR="009B6CF2" w:rsidRPr="00610181">
        <w:rPr>
          <w:i/>
          <w:iCs/>
          <w:lang w:val="en-GB"/>
        </w:rPr>
        <w:t xml:space="preserve"> and Balances</w:t>
      </w:r>
      <w:r w:rsidR="00B05392">
        <w:rPr>
          <w:lang w:val="en-GB"/>
        </w:rPr>
        <w:t xml:space="preserve">, included in </w:t>
      </w:r>
      <w:hyperlink r:id="rId13" w:history="1">
        <w:r w:rsidR="007678FB" w:rsidRPr="00091248">
          <w:rPr>
            <w:rStyle w:val="Hyperlink"/>
            <w:lang w:val="en-GB"/>
          </w:rPr>
          <w:t xml:space="preserve">MCR </w:t>
        </w:r>
        <w:r w:rsidR="00091248" w:rsidRPr="00091248">
          <w:rPr>
            <w:rStyle w:val="Hyperlink"/>
            <w:lang w:val="en-GB"/>
          </w:rPr>
          <w:t>#1261</w:t>
        </w:r>
      </w:hyperlink>
      <w:r w:rsidR="00091248">
        <w:rPr>
          <w:lang w:val="en-GB"/>
        </w:rPr>
        <w:t xml:space="preserve"> published on ISO20022.org. </w:t>
      </w:r>
    </w:p>
    <w:p w14:paraId="6CA76C6F" w14:textId="4DC7D2E5" w:rsidR="000463D9" w:rsidRPr="00101B67" w:rsidRDefault="00363481" w:rsidP="00AA5E76">
      <w:pPr>
        <w:rPr>
          <w:lang w:val="en-GB"/>
        </w:rPr>
      </w:pPr>
      <w:r>
        <w:rPr>
          <w:lang w:val="en-GB"/>
        </w:rPr>
        <w:t>All messages contain</w:t>
      </w:r>
      <w:r w:rsidR="005C33C1" w:rsidRPr="0087791B">
        <w:rPr>
          <w:lang w:val="en-GB"/>
        </w:rPr>
        <w:t xml:space="preserve"> </w:t>
      </w:r>
      <w:r w:rsidR="007B0EE8" w:rsidRPr="0087791B">
        <w:rPr>
          <w:lang w:val="en-GB"/>
        </w:rPr>
        <w:t xml:space="preserve">Message Component </w:t>
      </w:r>
      <w:r w:rsidR="007B0EE8" w:rsidRPr="0087791B">
        <w:rPr>
          <w:i/>
          <w:iCs/>
          <w:lang w:val="en-GB"/>
        </w:rPr>
        <w:t>FinancialInstrumentQuantity1Choice</w:t>
      </w:r>
      <w:r w:rsidR="00CA79E8">
        <w:rPr>
          <w:lang w:val="en-GB"/>
        </w:rPr>
        <w:t xml:space="preserve">. The component has been updated to </w:t>
      </w:r>
      <w:r w:rsidR="00047AF8" w:rsidRPr="0087791B">
        <w:rPr>
          <w:i/>
          <w:iCs/>
          <w:lang w:val="en-GB"/>
        </w:rPr>
        <w:t>FinancialInstrumentQuantity33Choice</w:t>
      </w:r>
      <w:r w:rsidR="00101B67">
        <w:rPr>
          <w:i/>
          <w:iCs/>
          <w:lang w:val="en-GB"/>
        </w:rPr>
        <w:t xml:space="preserve"> </w:t>
      </w:r>
      <w:r w:rsidR="00101B67" w:rsidRPr="00101B67">
        <w:rPr>
          <w:lang w:val="en-GB"/>
        </w:rPr>
        <w:t>in SR2022</w:t>
      </w:r>
      <w:r w:rsidR="00101B67">
        <w:rPr>
          <w:lang w:val="en-GB"/>
        </w:rPr>
        <w:t>.</w:t>
      </w:r>
    </w:p>
    <w:p w14:paraId="55214AA7" w14:textId="206ACFBA" w:rsidR="000408BA" w:rsidRDefault="00AA5E76" w:rsidP="000408BA">
      <w:pPr>
        <w:rPr>
          <w:lang w:val="en-GB"/>
        </w:rPr>
      </w:pPr>
      <w:r>
        <w:rPr>
          <w:lang w:val="en-GB"/>
        </w:rPr>
        <w:t xml:space="preserve">  </w:t>
      </w:r>
      <w:r w:rsidR="006D4A37" w:rsidRPr="00AA5E76">
        <w:rPr>
          <w:lang w:val="en-GB"/>
        </w:rPr>
        <w:t xml:space="preserve"> </w:t>
      </w:r>
    </w:p>
    <w:p w14:paraId="161E4788" w14:textId="3CAFDAA7" w:rsidR="00610181" w:rsidRDefault="00610181" w:rsidP="000408BA">
      <w:pPr>
        <w:rPr>
          <w:lang w:val="en-GB"/>
        </w:rPr>
      </w:pPr>
      <w:r>
        <w:rPr>
          <w:noProof/>
          <w:lang w:val="de-DE" w:eastAsia="de-DE"/>
        </w:rPr>
        <w:lastRenderedPageBreak/>
        <w:drawing>
          <wp:inline distT="0" distB="0" distL="0" distR="0" wp14:anchorId="41640878" wp14:editId="35A5A83B">
            <wp:extent cx="32385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8500" cy="1562100"/>
                    </a:xfrm>
                    <a:prstGeom prst="rect">
                      <a:avLst/>
                    </a:prstGeom>
                  </pic:spPr>
                </pic:pic>
              </a:graphicData>
            </a:graphic>
          </wp:inline>
        </w:drawing>
      </w:r>
    </w:p>
    <w:p w14:paraId="1477C371" w14:textId="77777777" w:rsidR="00610181" w:rsidRDefault="00610181" w:rsidP="000408BA">
      <w:pPr>
        <w:rPr>
          <w:lang w:val="en-GB"/>
        </w:rPr>
      </w:pPr>
    </w:p>
    <w:p w14:paraId="4AE5B8EB" w14:textId="47AA1C10" w:rsidR="00424354" w:rsidRDefault="001F0FB1" w:rsidP="000408BA">
      <w:pPr>
        <w:rPr>
          <w:lang w:val="en-GB"/>
        </w:rPr>
      </w:pPr>
      <w:r>
        <w:rPr>
          <w:noProof/>
          <w:lang w:val="de-DE" w:eastAsia="de-DE"/>
        </w:rPr>
        <mc:AlternateContent>
          <mc:Choice Requires="wps">
            <w:drawing>
              <wp:anchor distT="0" distB="0" distL="114300" distR="114300" simplePos="0" relativeHeight="251659264" behindDoc="0" locked="0" layoutInCell="1" allowOverlap="1" wp14:anchorId="6CDF5EB9" wp14:editId="66DCE668">
                <wp:simplePos x="0" y="0"/>
                <wp:positionH relativeFrom="column">
                  <wp:posOffset>240030</wp:posOffset>
                </wp:positionH>
                <wp:positionV relativeFrom="paragraph">
                  <wp:posOffset>1450340</wp:posOffset>
                </wp:positionV>
                <wp:extent cx="2619375" cy="400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19375" cy="400050"/>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25E18" id="Rectangle 3" o:spid="_x0000_s1026" style="position:absolute;margin-left:18.9pt;margin-top:114.2pt;width:206.2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" filled="f" strokecolor="red" strokeweight="1.5pt"/>
            </w:pict>
          </mc:Fallback>
        </mc:AlternateContent>
      </w:r>
      <w:r w:rsidR="00610181">
        <w:rPr>
          <w:noProof/>
          <w:lang w:val="de-DE" w:eastAsia="de-DE"/>
        </w:rPr>
        <w:drawing>
          <wp:inline distT="0" distB="0" distL="0" distR="0" wp14:anchorId="588F65D1" wp14:editId="1041D679">
            <wp:extent cx="33528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52800" cy="1857375"/>
                    </a:xfrm>
                    <a:prstGeom prst="rect">
                      <a:avLst/>
                    </a:prstGeom>
                  </pic:spPr>
                </pic:pic>
              </a:graphicData>
            </a:graphic>
          </wp:inline>
        </w:drawing>
      </w:r>
    </w:p>
    <w:p w14:paraId="579C06D9" w14:textId="77777777" w:rsidR="00C71D58" w:rsidRDefault="00C71D58" w:rsidP="000408BA">
      <w:pPr>
        <w:rPr>
          <w:lang w:val="en-GB"/>
        </w:rPr>
      </w:pP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1BB24F9D" w14:textId="3BF57804" w:rsidR="00AD7621" w:rsidRDefault="00AD7621" w:rsidP="00C71D58">
      <w:pPr>
        <w:rPr>
          <w:lang w:val="en-GB"/>
        </w:rPr>
      </w:pPr>
      <w:r>
        <w:rPr>
          <w:lang w:val="en-GB"/>
        </w:rPr>
        <w:t xml:space="preserve">Alignment of T2S registered messages with approved Change Requests from the Securities </w:t>
      </w:r>
      <w:r w:rsidR="00B95AFA">
        <w:rPr>
          <w:lang w:val="en-GB"/>
        </w:rPr>
        <w:t>and Payment</w:t>
      </w:r>
      <w:r w:rsidR="008325B5">
        <w:rPr>
          <w:lang w:val="en-GB"/>
        </w:rPr>
        <w:t xml:space="preserve">s </w:t>
      </w:r>
      <w:r>
        <w:rPr>
          <w:lang w:val="en-GB"/>
        </w:rPr>
        <w:t>Maintenance Releases of 2022 and 2023.</w:t>
      </w:r>
    </w:p>
    <w:p w14:paraId="3F3A4FC4" w14:textId="249FA60F" w:rsidR="00C71D58" w:rsidRDefault="00C71D58" w:rsidP="00C71D58">
      <w:pPr>
        <w:rPr>
          <w:lang w:val="en-GB"/>
        </w:rPr>
      </w:pPr>
      <w:r>
        <w:rPr>
          <w:lang w:val="en-GB"/>
        </w:rPr>
        <w:t xml:space="preserve">In recent years, Digital Assets have emerged as a new security type, and members of Securities maintenance groups have expressed the request to enhance existing messages to include those new instruments, rather than creating new </w:t>
      </w:r>
      <w:r w:rsidR="00346516">
        <w:rPr>
          <w:lang w:val="en-GB"/>
        </w:rPr>
        <w:t>ones</w:t>
      </w:r>
      <w:r>
        <w:rPr>
          <w:lang w:val="en-GB"/>
        </w:rPr>
        <w:t>.</w:t>
      </w:r>
    </w:p>
    <w:p w14:paraId="4415D0E5" w14:textId="7FCE2ABB" w:rsidR="009113C8" w:rsidRDefault="00C65C05" w:rsidP="00577861">
      <w:pPr>
        <w:rPr>
          <w:lang w:val="en-GB"/>
        </w:rPr>
      </w:pPr>
      <w:r>
        <w:rPr>
          <w:lang w:val="en-GB"/>
        </w:rPr>
        <w:t xml:space="preserve">While </w:t>
      </w:r>
      <w:r w:rsidR="00C71D58">
        <w:rPr>
          <w:lang w:val="en-GB"/>
        </w:rPr>
        <w:t xml:space="preserve">Securities Reference Data and Collateral Management naturally fall in the Securities </w:t>
      </w:r>
      <w:r w:rsidR="00346516">
        <w:rPr>
          <w:lang w:val="en-GB"/>
        </w:rPr>
        <w:t>domain</w:t>
      </w:r>
      <w:r>
        <w:rPr>
          <w:lang w:val="en-GB"/>
        </w:rPr>
        <w:t xml:space="preserve">, it may be surprising to find </w:t>
      </w:r>
      <w:r w:rsidR="009113C8">
        <w:rPr>
          <w:lang w:val="en-GB"/>
        </w:rPr>
        <w:t>t</w:t>
      </w:r>
      <w:r w:rsidR="008A3458">
        <w:rPr>
          <w:lang w:val="en-GB"/>
        </w:rPr>
        <w:t xml:space="preserve">he </w:t>
      </w:r>
      <w:r w:rsidR="003322CF">
        <w:rPr>
          <w:lang w:val="en-GB"/>
        </w:rPr>
        <w:t>I</w:t>
      </w:r>
      <w:r w:rsidR="008A3458">
        <w:rPr>
          <w:lang w:val="en-GB"/>
        </w:rPr>
        <w:t>ntra</w:t>
      </w:r>
      <w:r w:rsidR="003322CF">
        <w:rPr>
          <w:lang w:val="en-GB"/>
        </w:rPr>
        <w:t>-B</w:t>
      </w:r>
      <w:r w:rsidR="008A3458">
        <w:rPr>
          <w:lang w:val="en-GB"/>
        </w:rPr>
        <w:t xml:space="preserve">alance messages </w:t>
      </w:r>
      <w:r w:rsidR="009113C8">
        <w:rPr>
          <w:lang w:val="en-GB"/>
        </w:rPr>
        <w:t>in this CR</w:t>
      </w:r>
      <w:r w:rsidR="00021AE9">
        <w:rPr>
          <w:lang w:val="en-GB"/>
        </w:rPr>
        <w:t xml:space="preserve">, </w:t>
      </w:r>
      <w:r w:rsidR="009113C8">
        <w:rPr>
          <w:lang w:val="en-GB"/>
        </w:rPr>
        <w:t xml:space="preserve">as they belong to </w:t>
      </w:r>
      <w:r w:rsidR="00021AE9">
        <w:rPr>
          <w:lang w:val="en-GB"/>
        </w:rPr>
        <w:t xml:space="preserve">the Cash Management </w:t>
      </w:r>
      <w:r w:rsidR="00CC29D5">
        <w:rPr>
          <w:lang w:val="en-GB"/>
        </w:rPr>
        <w:t>business domain</w:t>
      </w:r>
      <w:r w:rsidR="009113C8">
        <w:rPr>
          <w:lang w:val="en-GB"/>
        </w:rPr>
        <w:t>.</w:t>
      </w:r>
    </w:p>
    <w:p w14:paraId="72ED7345" w14:textId="59E5E006" w:rsidR="008A3458" w:rsidRDefault="00CC29D5" w:rsidP="00577861">
      <w:pPr>
        <w:rPr>
          <w:lang w:val="en-GB"/>
        </w:rPr>
      </w:pPr>
      <w:r>
        <w:rPr>
          <w:lang w:val="en-GB"/>
        </w:rPr>
        <w:t xml:space="preserve">Those messages </w:t>
      </w:r>
      <w:r w:rsidR="00C97326">
        <w:rPr>
          <w:lang w:val="en-GB"/>
        </w:rPr>
        <w:t>were</w:t>
      </w:r>
      <w:r w:rsidR="008A3458">
        <w:rPr>
          <w:lang w:val="en-GB"/>
        </w:rPr>
        <w:t xml:space="preserve"> modelled following the </w:t>
      </w:r>
      <w:r w:rsidR="003322CF">
        <w:rPr>
          <w:lang w:val="en-GB"/>
        </w:rPr>
        <w:t>Securities Management</w:t>
      </w:r>
      <w:r w:rsidR="00436B11">
        <w:rPr>
          <w:lang w:val="en-GB"/>
        </w:rPr>
        <w:t xml:space="preserve"> Intra-Position</w:t>
      </w:r>
      <w:r w:rsidR="003322CF">
        <w:rPr>
          <w:lang w:val="en-GB"/>
        </w:rPr>
        <w:t xml:space="preserve"> (“</w:t>
      </w:r>
      <w:proofErr w:type="spellStart"/>
      <w:r w:rsidR="008A3458">
        <w:rPr>
          <w:lang w:val="en-GB"/>
        </w:rPr>
        <w:t>semt</w:t>
      </w:r>
      <w:proofErr w:type="spellEnd"/>
      <w:r w:rsidR="003322CF">
        <w:rPr>
          <w:lang w:val="en-GB"/>
        </w:rPr>
        <w:t>”)</w:t>
      </w:r>
      <w:r w:rsidR="008A3458">
        <w:rPr>
          <w:lang w:val="en-GB"/>
        </w:rPr>
        <w:t xml:space="preserve"> messages and </w:t>
      </w:r>
      <w:r w:rsidR="009D2380">
        <w:rPr>
          <w:lang w:val="en-GB"/>
        </w:rPr>
        <w:t xml:space="preserve">do contain </w:t>
      </w:r>
      <w:r w:rsidR="003102A7">
        <w:rPr>
          <w:lang w:val="en-GB"/>
        </w:rPr>
        <w:t>Message Components</w:t>
      </w:r>
      <w:r w:rsidR="008A3458">
        <w:rPr>
          <w:lang w:val="en-GB"/>
        </w:rPr>
        <w:t xml:space="preserve"> </w:t>
      </w:r>
      <w:r w:rsidR="00207D25">
        <w:rPr>
          <w:lang w:val="en-GB"/>
        </w:rPr>
        <w:t>impacted</w:t>
      </w:r>
      <w:r w:rsidR="008A3458">
        <w:rPr>
          <w:lang w:val="en-GB"/>
        </w:rPr>
        <w:t xml:space="preserve"> by </w:t>
      </w:r>
      <w:r w:rsidR="00A77D6E">
        <w:rPr>
          <w:lang w:val="en-GB"/>
        </w:rPr>
        <w:t xml:space="preserve">the maintenance of </w:t>
      </w:r>
      <w:r w:rsidR="00BD251F">
        <w:rPr>
          <w:lang w:val="en-GB"/>
        </w:rPr>
        <w:t>Settlement and Reconciliation messages</w:t>
      </w:r>
      <w:r w:rsidR="003F24B8">
        <w:rPr>
          <w:lang w:val="en-GB"/>
        </w:rPr>
        <w:t>, therefore we do request their update as well</w:t>
      </w:r>
      <w:r w:rsidR="00327406">
        <w:rPr>
          <w:lang w:val="en-GB"/>
        </w:rPr>
        <w:t>.</w:t>
      </w:r>
    </w:p>
    <w:p w14:paraId="7AF09627" w14:textId="77777777" w:rsidR="00624979" w:rsidRDefault="00624979" w:rsidP="00577861">
      <w:pPr>
        <w:rPr>
          <w:lang w:val="en-GB"/>
        </w:rPr>
      </w:pPr>
    </w:p>
    <w:p w14:paraId="4A834A14" w14:textId="77777777" w:rsidR="00867B20" w:rsidRDefault="00867B20" w:rsidP="00577861">
      <w:pPr>
        <w:rPr>
          <w:lang w:val="en-GB"/>
        </w:rPr>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ECD0598" w14:textId="77777777" w:rsidR="007B487A" w:rsidRDefault="007B487A" w:rsidP="007B487A">
      <w:pPr>
        <w:rPr>
          <w:szCs w:val="24"/>
          <w:lang w:val="en-GB"/>
        </w:rPr>
      </w:pPr>
      <w:r>
        <w:t>Approval of the change request for ISO 20022 Maintenance 2024/2025</w:t>
      </w:r>
      <w:r>
        <w:rPr>
          <w:szCs w:val="24"/>
          <w:lang w:val="en-GB"/>
        </w:rPr>
        <w:t xml:space="preserve">. </w:t>
      </w:r>
    </w:p>
    <w:p w14:paraId="593C20A8" w14:textId="77777777" w:rsidR="00151A7A" w:rsidRPr="008C2C42" w:rsidRDefault="007B487A" w:rsidP="007B487A">
      <w:pPr>
        <w:rPr>
          <w:b/>
          <w:bCs/>
          <w:szCs w:val="24"/>
          <w:lang w:val="en-GB"/>
        </w:rPr>
      </w:pPr>
      <w:r w:rsidRPr="008C2C42">
        <w:rPr>
          <w:b/>
          <w:bCs/>
          <w:szCs w:val="24"/>
          <w:lang w:val="en-GB"/>
        </w:rPr>
        <w:t xml:space="preserve">As to reduce the effort of maintenance, T2S might postpone the actual implementation of new draft message versions to a later maintenance cycle depending on whether the messages impacted by this change request will be otherwise affected by the scope of the MCR for maintenance cycle </w:t>
      </w:r>
      <w:proofErr w:type="gramStart"/>
      <w:r w:rsidRPr="008C2C42">
        <w:rPr>
          <w:b/>
          <w:bCs/>
          <w:szCs w:val="24"/>
          <w:lang w:val="en-GB"/>
        </w:rPr>
        <w:t>2024/2025</w:t>
      </w:r>
      <w:proofErr w:type="gramEnd"/>
    </w:p>
    <w:p w14:paraId="4FDD1CD7" w14:textId="77777777" w:rsidR="007B487A" w:rsidRDefault="007B487A" w:rsidP="00783891">
      <w:pPr>
        <w:rPr>
          <w:lang w:val="en-GB"/>
        </w:rPr>
      </w:pPr>
    </w:p>
    <w:p w14:paraId="17E6DFF3" w14:textId="77777777" w:rsidR="00151A7A" w:rsidRPr="00151A7A" w:rsidRDefault="00151A7A" w:rsidP="00151A7A">
      <w:pPr>
        <w:pStyle w:val="ListParagraph"/>
        <w:numPr>
          <w:ilvl w:val="0"/>
          <w:numId w:val="6"/>
        </w:numPr>
        <w:rPr>
          <w:b/>
          <w:szCs w:val="24"/>
          <w:lang w:val="en-GB"/>
        </w:rPr>
      </w:pPr>
      <w:r w:rsidRPr="00151A7A">
        <w:rPr>
          <w:b/>
          <w:szCs w:val="24"/>
          <w:lang w:val="en-GB"/>
        </w:rPr>
        <w:t>Business examples:</w:t>
      </w:r>
    </w:p>
    <w:p w14:paraId="0FF069B7" w14:textId="59719F41" w:rsidR="00783891" w:rsidRPr="00151A7A" w:rsidRDefault="000408BA" w:rsidP="00151A7A">
      <w:pPr>
        <w:rPr>
          <w:i/>
          <w:szCs w:val="24"/>
          <w:lang w:val="en-GB"/>
        </w:rPr>
      </w:pPr>
      <w:r w:rsidRPr="00151A7A">
        <w:rPr>
          <w:i/>
          <w:szCs w:val="24"/>
          <w:lang w:val="en-GB"/>
        </w:rPr>
        <w:t>Example</w:t>
      </w:r>
      <w:r w:rsidR="0085530C" w:rsidRPr="00151A7A">
        <w:rPr>
          <w:i/>
          <w:szCs w:val="24"/>
          <w:lang w:val="en-GB"/>
        </w:rPr>
        <w:t>s</w:t>
      </w:r>
      <w:r w:rsidRPr="00151A7A">
        <w:rPr>
          <w:i/>
          <w:szCs w:val="24"/>
          <w:lang w:val="en-GB"/>
        </w:rPr>
        <w:t xml:space="preserve"> illustrating the change request</w:t>
      </w:r>
    </w:p>
    <w:p w14:paraId="151459B7" w14:textId="4F21EBB6" w:rsidR="00C41DDB" w:rsidRPr="002E1461" w:rsidRDefault="00AE4D14" w:rsidP="002E1461">
      <w:pPr>
        <w:pStyle w:val="ListParagraph"/>
        <w:numPr>
          <w:ilvl w:val="0"/>
          <w:numId w:val="17"/>
        </w:numPr>
        <w:rPr>
          <w:b/>
          <w:lang w:val="en-GB"/>
        </w:rPr>
      </w:pPr>
      <w:r w:rsidRPr="002E1461">
        <w:rPr>
          <w:b/>
          <w:lang w:val="en-GB"/>
        </w:rPr>
        <w:br w:type="page"/>
      </w:r>
      <w:r w:rsidR="00C41DDB" w:rsidRPr="002E1461">
        <w:rPr>
          <w:b/>
          <w:lang w:val="en-GB"/>
        </w:rPr>
        <w:lastRenderedPageBreak/>
        <w:t>SEG</w:t>
      </w:r>
      <w:r w:rsidR="005A1AA5" w:rsidRPr="002E1461">
        <w:rPr>
          <w:b/>
          <w:lang w:val="en-GB"/>
        </w:rPr>
        <w:t>/TSG</w:t>
      </w:r>
      <w:r w:rsidR="00C41DDB" w:rsidRPr="002E1461">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29420B">
      <w:headerReference w:type="default" r:id="rId16"/>
      <w:footerReference w:type="defaul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2D25" w14:textId="77777777" w:rsidR="0029420B" w:rsidRDefault="0029420B">
      <w:r>
        <w:separator/>
      </w:r>
    </w:p>
  </w:endnote>
  <w:endnote w:type="continuationSeparator" w:id="0">
    <w:p w14:paraId="486C9893" w14:textId="77777777" w:rsidR="0029420B" w:rsidRDefault="0029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5D5F74D9" w:rsidR="00567F13" w:rsidRDefault="007E7A2F">
    <w:pPr>
      <w:pStyle w:val="Footer"/>
      <w:rPr>
        <w:rStyle w:val="PageNumber"/>
      </w:rPr>
    </w:pPr>
    <w:r>
      <w:t>A</w:t>
    </w:r>
    <w:r w:rsidRPr="007E7A2F">
      <w:t xml:space="preserve">lignment </w:t>
    </w:r>
    <w:r>
      <w:t xml:space="preserve">of T2S messages </w:t>
    </w:r>
    <w:r w:rsidRPr="007E7A2F">
      <w:t>wi</w:t>
    </w:r>
    <w:r>
      <w:t>th S&amp;R maintenance CR001783</w:t>
    </w:r>
    <w:r w:rsidR="00567F13">
      <w:tab/>
      <w:t xml:space="preserve">Produced by </w:t>
    </w:r>
    <w:r w:rsidR="00557952">
      <w:t>4CB</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8C2C42">
      <w:rPr>
        <w:rStyle w:val="PageNumber"/>
        <w:noProof/>
      </w:rPr>
      <w:t>5</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F8CE" w14:textId="77777777" w:rsidR="0029420B" w:rsidRDefault="0029420B">
      <w:r>
        <w:separator/>
      </w:r>
    </w:p>
  </w:footnote>
  <w:footnote w:type="continuationSeparator" w:id="0">
    <w:p w14:paraId="66BB4988" w14:textId="77777777" w:rsidR="0029420B" w:rsidRDefault="0029420B">
      <w:r>
        <w:continuationSeparator/>
      </w:r>
    </w:p>
  </w:footnote>
  <w:footnote w:id="1">
    <w:p w14:paraId="27B5F2BB" w14:textId="07A00B3B" w:rsidR="00FD5A55" w:rsidRPr="009212FA" w:rsidRDefault="00FD5A55" w:rsidP="00FD5A55">
      <w:pPr>
        <w:pStyle w:val="FootnoteText"/>
        <w:rPr>
          <w:lang w:val="en-GB"/>
        </w:rPr>
      </w:pPr>
      <w:r w:rsidRPr="009212FA">
        <w:rPr>
          <w:rStyle w:val="FootnoteReference"/>
        </w:rPr>
        <w:footnoteRef/>
      </w:r>
      <w:r w:rsidRPr="009212FA">
        <w:t xml:space="preserve"> </w:t>
      </w:r>
      <w:r w:rsidRPr="009212FA">
        <w:rPr>
          <w:lang w:val="en-GB"/>
        </w:rPr>
        <w:t>Group of national central banks mandated by the European Central Bank (ECB) Governing Council to build and operate the TARGET2-Securities platform</w:t>
      </w:r>
      <w:r w:rsidR="009354D0">
        <w:rPr>
          <w:lang w:val="en-GB"/>
        </w:rPr>
        <w:t xml:space="preserve">; </w:t>
      </w:r>
      <w:r w:rsidRPr="009212FA">
        <w:rPr>
          <w:lang w:val="en-GB"/>
        </w:rPr>
        <w:t xml:space="preserve">this Group is made of Banque de France, Banco de España, Banca </w:t>
      </w:r>
      <w:proofErr w:type="spellStart"/>
      <w:r w:rsidRPr="009212FA">
        <w:rPr>
          <w:lang w:val="en-GB"/>
        </w:rPr>
        <w:t>d`Italia</w:t>
      </w:r>
      <w:proofErr w:type="spellEnd"/>
      <w:r w:rsidRPr="009212FA">
        <w:rPr>
          <w:lang w:val="en-GB"/>
        </w:rPr>
        <w:t xml:space="preserve"> and Deutsche Bundesbank.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01AE2239" w:rsidR="00E74C04" w:rsidRPr="00801493" w:rsidRDefault="00801493">
    <w:pPr>
      <w:pStyle w:val="Header"/>
      <w:rPr>
        <w:lang w:val="fr-BE"/>
      </w:rPr>
    </w:pPr>
    <w:r>
      <w:rPr>
        <w:lang w:val="fr-BE"/>
      </w:rPr>
      <w:t xml:space="preserve">RA ID : </w:t>
    </w:r>
    <w:r w:rsidR="00105249">
      <w:rPr>
        <w:lang w:val="fr-BE"/>
      </w:rPr>
      <w:t>CR1374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A6410B"/>
    <w:multiLevelType w:val="hybridMultilevel"/>
    <w:tmpl w:val="08CE4426"/>
    <w:lvl w:ilvl="0" w:tplc="BE94E754">
      <w:start w:val="7"/>
      <w:numFmt w:val="upp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B010C"/>
    <w:multiLevelType w:val="hybridMultilevel"/>
    <w:tmpl w:val="9A0AEACA"/>
    <w:lvl w:ilvl="0" w:tplc="4132976E">
      <w:start w:val="1"/>
      <w:numFmt w:val="bullet"/>
      <w:lvlText w:val="-"/>
      <w:lvlJc w:val="left"/>
      <w:pPr>
        <w:ind w:left="360" w:hanging="360"/>
      </w:pPr>
      <w:rPr>
        <w:rFonts w:ascii="Times New Roman" w:eastAsia="Times" w:hAnsi="Times New Roman"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539AB"/>
    <w:multiLevelType w:val="hybridMultilevel"/>
    <w:tmpl w:val="E0A83B74"/>
    <w:lvl w:ilvl="0" w:tplc="4132976E">
      <w:start w:val="1"/>
      <w:numFmt w:val="bullet"/>
      <w:lvlText w:val="-"/>
      <w:lvlJc w:val="left"/>
      <w:pPr>
        <w:ind w:left="720" w:hanging="360"/>
      </w:pPr>
      <w:rPr>
        <w:rFonts w:ascii="Times New Roman" w:eastAsia="Times"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5495006">
    <w:abstractNumId w:val="2"/>
  </w:num>
  <w:num w:numId="2" w16cid:durableId="1591503129">
    <w:abstractNumId w:val="0"/>
  </w:num>
  <w:num w:numId="3" w16cid:durableId="967853521">
    <w:abstractNumId w:val="1"/>
  </w:num>
  <w:num w:numId="4" w16cid:durableId="1865164764">
    <w:abstractNumId w:val="3"/>
  </w:num>
  <w:num w:numId="5" w16cid:durableId="1282885543">
    <w:abstractNumId w:val="17"/>
  </w:num>
  <w:num w:numId="6" w16cid:durableId="1865556887">
    <w:abstractNumId w:val="8"/>
  </w:num>
  <w:num w:numId="7" w16cid:durableId="588660422">
    <w:abstractNumId w:val="11"/>
  </w:num>
  <w:num w:numId="8" w16cid:durableId="366175049">
    <w:abstractNumId w:val="9"/>
  </w:num>
  <w:num w:numId="9" w16cid:durableId="1926374094">
    <w:abstractNumId w:val="16"/>
  </w:num>
  <w:num w:numId="10" w16cid:durableId="1616136670">
    <w:abstractNumId w:val="5"/>
  </w:num>
  <w:num w:numId="11" w16cid:durableId="202527057">
    <w:abstractNumId w:val="7"/>
  </w:num>
  <w:num w:numId="12" w16cid:durableId="58135948">
    <w:abstractNumId w:val="10"/>
  </w:num>
  <w:num w:numId="13" w16cid:durableId="2114351308">
    <w:abstractNumId w:val="4"/>
  </w:num>
  <w:num w:numId="14" w16cid:durableId="1739547626">
    <w:abstractNumId w:val="6"/>
  </w:num>
  <w:num w:numId="15" w16cid:durableId="1118718034">
    <w:abstractNumId w:val="15"/>
  </w:num>
  <w:num w:numId="16" w16cid:durableId="2140757135">
    <w:abstractNumId w:val="12"/>
  </w:num>
  <w:num w:numId="17" w16cid:durableId="1381326910">
    <w:abstractNumId w:val="13"/>
  </w:num>
  <w:num w:numId="18" w16cid:durableId="1220288458">
    <w:abstractNumId w:val="18"/>
  </w:num>
  <w:num w:numId="19" w16cid:durableId="14038747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AE9"/>
    <w:rsid w:val="00021C86"/>
    <w:rsid w:val="0003395A"/>
    <w:rsid w:val="00034C85"/>
    <w:rsid w:val="000408BA"/>
    <w:rsid w:val="00041661"/>
    <w:rsid w:val="000463D9"/>
    <w:rsid w:val="00047AF8"/>
    <w:rsid w:val="000558EF"/>
    <w:rsid w:val="0006293F"/>
    <w:rsid w:val="000648A8"/>
    <w:rsid w:val="00066DF6"/>
    <w:rsid w:val="00070308"/>
    <w:rsid w:val="00080D3A"/>
    <w:rsid w:val="000823AA"/>
    <w:rsid w:val="00082743"/>
    <w:rsid w:val="000837C7"/>
    <w:rsid w:val="00083C96"/>
    <w:rsid w:val="00091248"/>
    <w:rsid w:val="000966C1"/>
    <w:rsid w:val="000A172E"/>
    <w:rsid w:val="000A20E4"/>
    <w:rsid w:val="000B65C7"/>
    <w:rsid w:val="000C015D"/>
    <w:rsid w:val="000D5D39"/>
    <w:rsid w:val="000D7657"/>
    <w:rsid w:val="000E2471"/>
    <w:rsid w:val="000E7941"/>
    <w:rsid w:val="000F3C8B"/>
    <w:rsid w:val="000F43E3"/>
    <w:rsid w:val="00101212"/>
    <w:rsid w:val="00101B67"/>
    <w:rsid w:val="00101D5F"/>
    <w:rsid w:val="00103124"/>
    <w:rsid w:val="00103BE1"/>
    <w:rsid w:val="00105249"/>
    <w:rsid w:val="00105754"/>
    <w:rsid w:val="00114FA0"/>
    <w:rsid w:val="0012701C"/>
    <w:rsid w:val="00130EB9"/>
    <w:rsid w:val="00141766"/>
    <w:rsid w:val="0014379C"/>
    <w:rsid w:val="00151A7A"/>
    <w:rsid w:val="00153ED1"/>
    <w:rsid w:val="00163DB3"/>
    <w:rsid w:val="001711D3"/>
    <w:rsid w:val="00185453"/>
    <w:rsid w:val="00185E8E"/>
    <w:rsid w:val="00192D3A"/>
    <w:rsid w:val="001B1858"/>
    <w:rsid w:val="001D0D1B"/>
    <w:rsid w:val="001D176B"/>
    <w:rsid w:val="001D20B3"/>
    <w:rsid w:val="001E287E"/>
    <w:rsid w:val="001E2B1C"/>
    <w:rsid w:val="001E3BCF"/>
    <w:rsid w:val="001E6F79"/>
    <w:rsid w:val="001F0FB1"/>
    <w:rsid w:val="001F3676"/>
    <w:rsid w:val="001F6998"/>
    <w:rsid w:val="00207D25"/>
    <w:rsid w:val="00217122"/>
    <w:rsid w:val="00217AE9"/>
    <w:rsid w:val="00225AA9"/>
    <w:rsid w:val="00230574"/>
    <w:rsid w:val="00231CFF"/>
    <w:rsid w:val="00232FDA"/>
    <w:rsid w:val="00245077"/>
    <w:rsid w:val="002472D9"/>
    <w:rsid w:val="002509A2"/>
    <w:rsid w:val="0025138E"/>
    <w:rsid w:val="002521C9"/>
    <w:rsid w:val="002711E6"/>
    <w:rsid w:val="002730BC"/>
    <w:rsid w:val="002904C8"/>
    <w:rsid w:val="0029420B"/>
    <w:rsid w:val="002B0567"/>
    <w:rsid w:val="002B5E3F"/>
    <w:rsid w:val="002D549A"/>
    <w:rsid w:val="002E014D"/>
    <w:rsid w:val="002E1461"/>
    <w:rsid w:val="002E27A9"/>
    <w:rsid w:val="002E52FE"/>
    <w:rsid w:val="003006F2"/>
    <w:rsid w:val="003014E7"/>
    <w:rsid w:val="00303E94"/>
    <w:rsid w:val="00304151"/>
    <w:rsid w:val="003102A7"/>
    <w:rsid w:val="00316F04"/>
    <w:rsid w:val="00320A89"/>
    <w:rsid w:val="003243A2"/>
    <w:rsid w:val="00324C6F"/>
    <w:rsid w:val="00327406"/>
    <w:rsid w:val="003322CF"/>
    <w:rsid w:val="00332E8F"/>
    <w:rsid w:val="00336209"/>
    <w:rsid w:val="00336ED6"/>
    <w:rsid w:val="00346516"/>
    <w:rsid w:val="00360300"/>
    <w:rsid w:val="00360E70"/>
    <w:rsid w:val="00363481"/>
    <w:rsid w:val="00380928"/>
    <w:rsid w:val="00386B78"/>
    <w:rsid w:val="00391F96"/>
    <w:rsid w:val="003A1EBF"/>
    <w:rsid w:val="003A3D7D"/>
    <w:rsid w:val="003B261A"/>
    <w:rsid w:val="003C0213"/>
    <w:rsid w:val="003C0267"/>
    <w:rsid w:val="003C3840"/>
    <w:rsid w:val="003D42D9"/>
    <w:rsid w:val="003D56E3"/>
    <w:rsid w:val="003E59BF"/>
    <w:rsid w:val="003E67E5"/>
    <w:rsid w:val="003F1C24"/>
    <w:rsid w:val="003F24B8"/>
    <w:rsid w:val="003F4F43"/>
    <w:rsid w:val="003F547E"/>
    <w:rsid w:val="003F57CE"/>
    <w:rsid w:val="003F6B05"/>
    <w:rsid w:val="003F73B2"/>
    <w:rsid w:val="00401998"/>
    <w:rsid w:val="00410CC1"/>
    <w:rsid w:val="00424354"/>
    <w:rsid w:val="00427966"/>
    <w:rsid w:val="00436B11"/>
    <w:rsid w:val="0044313F"/>
    <w:rsid w:val="00445D10"/>
    <w:rsid w:val="00446B25"/>
    <w:rsid w:val="004475F9"/>
    <w:rsid w:val="0045022C"/>
    <w:rsid w:val="00451986"/>
    <w:rsid w:val="00454BF0"/>
    <w:rsid w:val="00454F49"/>
    <w:rsid w:val="00462051"/>
    <w:rsid w:val="00465900"/>
    <w:rsid w:val="00473145"/>
    <w:rsid w:val="0049713D"/>
    <w:rsid w:val="004A02CE"/>
    <w:rsid w:val="004A168F"/>
    <w:rsid w:val="004A31AA"/>
    <w:rsid w:val="004B5A22"/>
    <w:rsid w:val="004C454D"/>
    <w:rsid w:val="004D0B29"/>
    <w:rsid w:val="004D4E37"/>
    <w:rsid w:val="004E1F21"/>
    <w:rsid w:val="004F0578"/>
    <w:rsid w:val="004F0934"/>
    <w:rsid w:val="004F61D5"/>
    <w:rsid w:val="0050171A"/>
    <w:rsid w:val="0052302E"/>
    <w:rsid w:val="005246BE"/>
    <w:rsid w:val="0053586B"/>
    <w:rsid w:val="005411C7"/>
    <w:rsid w:val="00555709"/>
    <w:rsid w:val="00557952"/>
    <w:rsid w:val="00563F89"/>
    <w:rsid w:val="00563FFF"/>
    <w:rsid w:val="005677B8"/>
    <w:rsid w:val="00567F13"/>
    <w:rsid w:val="00573C83"/>
    <w:rsid w:val="00577861"/>
    <w:rsid w:val="00577BCC"/>
    <w:rsid w:val="005810CA"/>
    <w:rsid w:val="0058193F"/>
    <w:rsid w:val="00581FBB"/>
    <w:rsid w:val="005944D8"/>
    <w:rsid w:val="00594A5F"/>
    <w:rsid w:val="005960E2"/>
    <w:rsid w:val="00596453"/>
    <w:rsid w:val="00596F68"/>
    <w:rsid w:val="005A1AA5"/>
    <w:rsid w:val="005A7F37"/>
    <w:rsid w:val="005B4CAC"/>
    <w:rsid w:val="005B602E"/>
    <w:rsid w:val="005C33C1"/>
    <w:rsid w:val="005C4C5F"/>
    <w:rsid w:val="005D06FE"/>
    <w:rsid w:val="005D163E"/>
    <w:rsid w:val="005E1210"/>
    <w:rsid w:val="005E360A"/>
    <w:rsid w:val="005E3784"/>
    <w:rsid w:val="005E46E4"/>
    <w:rsid w:val="005F05DB"/>
    <w:rsid w:val="005F2E6B"/>
    <w:rsid w:val="00600AD2"/>
    <w:rsid w:val="006043A9"/>
    <w:rsid w:val="00610181"/>
    <w:rsid w:val="00610B1B"/>
    <w:rsid w:val="00610F9A"/>
    <w:rsid w:val="00624979"/>
    <w:rsid w:val="006316E5"/>
    <w:rsid w:val="00631A43"/>
    <w:rsid w:val="0063312E"/>
    <w:rsid w:val="00633B0A"/>
    <w:rsid w:val="006374BD"/>
    <w:rsid w:val="00652A3D"/>
    <w:rsid w:val="006643DC"/>
    <w:rsid w:val="006827C8"/>
    <w:rsid w:val="0068666D"/>
    <w:rsid w:val="006A02BC"/>
    <w:rsid w:val="006A36DE"/>
    <w:rsid w:val="006A7B96"/>
    <w:rsid w:val="006B20DC"/>
    <w:rsid w:val="006D4A37"/>
    <w:rsid w:val="006E2522"/>
    <w:rsid w:val="006E3DEC"/>
    <w:rsid w:val="006F0D07"/>
    <w:rsid w:val="006F3E10"/>
    <w:rsid w:val="00706604"/>
    <w:rsid w:val="007118C4"/>
    <w:rsid w:val="00723DE0"/>
    <w:rsid w:val="00732595"/>
    <w:rsid w:val="0074349F"/>
    <w:rsid w:val="0075466C"/>
    <w:rsid w:val="007678FB"/>
    <w:rsid w:val="00774921"/>
    <w:rsid w:val="00780203"/>
    <w:rsid w:val="00780877"/>
    <w:rsid w:val="00783891"/>
    <w:rsid w:val="00783E6C"/>
    <w:rsid w:val="007949EA"/>
    <w:rsid w:val="007A1AD1"/>
    <w:rsid w:val="007A4CCC"/>
    <w:rsid w:val="007A6E0D"/>
    <w:rsid w:val="007B0EE8"/>
    <w:rsid w:val="007B3927"/>
    <w:rsid w:val="007B487A"/>
    <w:rsid w:val="007C7AB4"/>
    <w:rsid w:val="007C7CD2"/>
    <w:rsid w:val="007D3EB0"/>
    <w:rsid w:val="007D69B5"/>
    <w:rsid w:val="007D6A9F"/>
    <w:rsid w:val="007E2CB5"/>
    <w:rsid w:val="007E64D9"/>
    <w:rsid w:val="007E7A2F"/>
    <w:rsid w:val="007F6A8C"/>
    <w:rsid w:val="00801493"/>
    <w:rsid w:val="008050F5"/>
    <w:rsid w:val="0081068B"/>
    <w:rsid w:val="00811DCF"/>
    <w:rsid w:val="00812324"/>
    <w:rsid w:val="00814D4C"/>
    <w:rsid w:val="008265E8"/>
    <w:rsid w:val="008270CD"/>
    <w:rsid w:val="008270DF"/>
    <w:rsid w:val="008325B5"/>
    <w:rsid w:val="0084123C"/>
    <w:rsid w:val="008438AF"/>
    <w:rsid w:val="00843FE8"/>
    <w:rsid w:val="00854FA6"/>
    <w:rsid w:val="0085530C"/>
    <w:rsid w:val="00861DA2"/>
    <w:rsid w:val="0086406A"/>
    <w:rsid w:val="008656A6"/>
    <w:rsid w:val="00865C2F"/>
    <w:rsid w:val="0086676E"/>
    <w:rsid w:val="00867B20"/>
    <w:rsid w:val="00875210"/>
    <w:rsid w:val="0087791B"/>
    <w:rsid w:val="008869D6"/>
    <w:rsid w:val="00891A79"/>
    <w:rsid w:val="0089798A"/>
    <w:rsid w:val="008A3458"/>
    <w:rsid w:val="008A7F65"/>
    <w:rsid w:val="008B6D88"/>
    <w:rsid w:val="008B729C"/>
    <w:rsid w:val="008C2C42"/>
    <w:rsid w:val="008E5A34"/>
    <w:rsid w:val="008F5C90"/>
    <w:rsid w:val="00906C6A"/>
    <w:rsid w:val="009113C8"/>
    <w:rsid w:val="00914273"/>
    <w:rsid w:val="00916A80"/>
    <w:rsid w:val="009222E7"/>
    <w:rsid w:val="009279BF"/>
    <w:rsid w:val="009305B8"/>
    <w:rsid w:val="0093531C"/>
    <w:rsid w:val="009354D0"/>
    <w:rsid w:val="00937D26"/>
    <w:rsid w:val="00951C86"/>
    <w:rsid w:val="00956D7A"/>
    <w:rsid w:val="00965199"/>
    <w:rsid w:val="00966046"/>
    <w:rsid w:val="009770EE"/>
    <w:rsid w:val="009B6CF2"/>
    <w:rsid w:val="009C1445"/>
    <w:rsid w:val="009D2380"/>
    <w:rsid w:val="009E2510"/>
    <w:rsid w:val="009F707E"/>
    <w:rsid w:val="00A01F2C"/>
    <w:rsid w:val="00A10221"/>
    <w:rsid w:val="00A21B8D"/>
    <w:rsid w:val="00A227BD"/>
    <w:rsid w:val="00A22F1A"/>
    <w:rsid w:val="00A25B84"/>
    <w:rsid w:val="00A32450"/>
    <w:rsid w:val="00A46877"/>
    <w:rsid w:val="00A47C6F"/>
    <w:rsid w:val="00A529AE"/>
    <w:rsid w:val="00A5492F"/>
    <w:rsid w:val="00A60DC3"/>
    <w:rsid w:val="00A60E56"/>
    <w:rsid w:val="00A66AF2"/>
    <w:rsid w:val="00A77D6E"/>
    <w:rsid w:val="00A82017"/>
    <w:rsid w:val="00A91F56"/>
    <w:rsid w:val="00A97D04"/>
    <w:rsid w:val="00AA5E76"/>
    <w:rsid w:val="00AD7621"/>
    <w:rsid w:val="00AD7CD5"/>
    <w:rsid w:val="00AE0A90"/>
    <w:rsid w:val="00AE4D14"/>
    <w:rsid w:val="00AF09E1"/>
    <w:rsid w:val="00AF2EBF"/>
    <w:rsid w:val="00B01132"/>
    <w:rsid w:val="00B05392"/>
    <w:rsid w:val="00B06CA8"/>
    <w:rsid w:val="00B21761"/>
    <w:rsid w:val="00B21FA3"/>
    <w:rsid w:val="00B307A7"/>
    <w:rsid w:val="00B30D86"/>
    <w:rsid w:val="00B43BED"/>
    <w:rsid w:val="00B44DEE"/>
    <w:rsid w:val="00B45490"/>
    <w:rsid w:val="00B5251E"/>
    <w:rsid w:val="00B5520C"/>
    <w:rsid w:val="00B60964"/>
    <w:rsid w:val="00B65C66"/>
    <w:rsid w:val="00B70B84"/>
    <w:rsid w:val="00B74C6C"/>
    <w:rsid w:val="00B82356"/>
    <w:rsid w:val="00B8336E"/>
    <w:rsid w:val="00B865DB"/>
    <w:rsid w:val="00B921E0"/>
    <w:rsid w:val="00B95AFA"/>
    <w:rsid w:val="00BA1600"/>
    <w:rsid w:val="00BA611B"/>
    <w:rsid w:val="00BB7F97"/>
    <w:rsid w:val="00BC4D68"/>
    <w:rsid w:val="00BD251F"/>
    <w:rsid w:val="00BD6786"/>
    <w:rsid w:val="00C06496"/>
    <w:rsid w:val="00C122AE"/>
    <w:rsid w:val="00C17665"/>
    <w:rsid w:val="00C32DF8"/>
    <w:rsid w:val="00C40729"/>
    <w:rsid w:val="00C41DDB"/>
    <w:rsid w:val="00C46C5A"/>
    <w:rsid w:val="00C46E19"/>
    <w:rsid w:val="00C52ABE"/>
    <w:rsid w:val="00C656B1"/>
    <w:rsid w:val="00C65C05"/>
    <w:rsid w:val="00C7056E"/>
    <w:rsid w:val="00C71D58"/>
    <w:rsid w:val="00C8561C"/>
    <w:rsid w:val="00C87D46"/>
    <w:rsid w:val="00C94989"/>
    <w:rsid w:val="00C97326"/>
    <w:rsid w:val="00CA57FF"/>
    <w:rsid w:val="00CA79E8"/>
    <w:rsid w:val="00CB12C0"/>
    <w:rsid w:val="00CB683A"/>
    <w:rsid w:val="00CB7C2C"/>
    <w:rsid w:val="00CC062F"/>
    <w:rsid w:val="00CC1768"/>
    <w:rsid w:val="00CC29D5"/>
    <w:rsid w:val="00CC68E1"/>
    <w:rsid w:val="00CD0745"/>
    <w:rsid w:val="00CD363B"/>
    <w:rsid w:val="00CD3C90"/>
    <w:rsid w:val="00CD59B1"/>
    <w:rsid w:val="00CE5EEA"/>
    <w:rsid w:val="00CF098A"/>
    <w:rsid w:val="00CF3041"/>
    <w:rsid w:val="00D123C1"/>
    <w:rsid w:val="00D144EB"/>
    <w:rsid w:val="00D234FD"/>
    <w:rsid w:val="00D24F4F"/>
    <w:rsid w:val="00D2600B"/>
    <w:rsid w:val="00D51B61"/>
    <w:rsid w:val="00D56571"/>
    <w:rsid w:val="00D67DE0"/>
    <w:rsid w:val="00D73E09"/>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3839"/>
    <w:rsid w:val="00E65EC1"/>
    <w:rsid w:val="00E67D1B"/>
    <w:rsid w:val="00E74C04"/>
    <w:rsid w:val="00E7537D"/>
    <w:rsid w:val="00E76E67"/>
    <w:rsid w:val="00E81706"/>
    <w:rsid w:val="00E840B6"/>
    <w:rsid w:val="00E845AB"/>
    <w:rsid w:val="00E8579D"/>
    <w:rsid w:val="00E928F1"/>
    <w:rsid w:val="00EA0A58"/>
    <w:rsid w:val="00EA246B"/>
    <w:rsid w:val="00EA3454"/>
    <w:rsid w:val="00EA3A98"/>
    <w:rsid w:val="00EB2786"/>
    <w:rsid w:val="00EB589C"/>
    <w:rsid w:val="00EB6791"/>
    <w:rsid w:val="00EC35A4"/>
    <w:rsid w:val="00EC4454"/>
    <w:rsid w:val="00ED1FC8"/>
    <w:rsid w:val="00ED4082"/>
    <w:rsid w:val="00ED43BB"/>
    <w:rsid w:val="00ED4B3A"/>
    <w:rsid w:val="00EE43B0"/>
    <w:rsid w:val="00EF1E93"/>
    <w:rsid w:val="00EF3F75"/>
    <w:rsid w:val="00EF6661"/>
    <w:rsid w:val="00F01FF8"/>
    <w:rsid w:val="00F23FD5"/>
    <w:rsid w:val="00F25441"/>
    <w:rsid w:val="00F260BE"/>
    <w:rsid w:val="00F33643"/>
    <w:rsid w:val="00F33790"/>
    <w:rsid w:val="00F34C66"/>
    <w:rsid w:val="00F3743B"/>
    <w:rsid w:val="00F413E6"/>
    <w:rsid w:val="00F521A4"/>
    <w:rsid w:val="00F52C18"/>
    <w:rsid w:val="00F56866"/>
    <w:rsid w:val="00F62A6F"/>
    <w:rsid w:val="00F6410E"/>
    <w:rsid w:val="00F74EB6"/>
    <w:rsid w:val="00F8432C"/>
    <w:rsid w:val="00F84FBF"/>
    <w:rsid w:val="00F91D83"/>
    <w:rsid w:val="00F91F93"/>
    <w:rsid w:val="00F93A64"/>
    <w:rsid w:val="00F94A2A"/>
    <w:rsid w:val="00FA112C"/>
    <w:rsid w:val="00FB56E2"/>
    <w:rsid w:val="00FC0455"/>
    <w:rsid w:val="00FC5011"/>
    <w:rsid w:val="00FC650B"/>
    <w:rsid w:val="00FD0B96"/>
    <w:rsid w:val="00FD4AFC"/>
    <w:rsid w:val="00FD54A5"/>
    <w:rsid w:val="00FD58BE"/>
    <w:rsid w:val="00FD5A55"/>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TableText">
    <w:name w:val="Table Text"/>
    <w:basedOn w:val="Normal"/>
    <w:qFormat/>
    <w:rsid w:val="001F6998"/>
    <w:pPr>
      <w:suppressAutoHyphens/>
      <w:spacing w:before="40" w:after="40"/>
    </w:pPr>
    <w:rPr>
      <w:rFonts w:ascii="Arial" w:hAnsi="Arial"/>
      <w:iCs/>
      <w:sz w:val="19"/>
      <w:lang w:val="en-GB"/>
    </w:rPr>
  </w:style>
  <w:style w:type="paragraph" w:customStyle="1" w:styleId="TableHeading">
    <w:name w:val="Table Heading"/>
    <w:basedOn w:val="TableText"/>
    <w:next w:val="TableText"/>
    <w:qFormat/>
    <w:rsid w:val="001F6998"/>
    <w:pPr>
      <w:spacing w:before="60" w:after="60"/>
    </w:pPr>
    <w:rPr>
      <w:b/>
      <w:iCs w:val="0"/>
      <w:snapToGrid w:val="0"/>
      <w:kern w:val="28"/>
      <w:lang w:eastAsia="en-GB"/>
    </w:rPr>
  </w:style>
  <w:style w:type="paragraph" w:styleId="FootnoteText">
    <w:name w:val="footnote text"/>
    <w:basedOn w:val="Normal"/>
    <w:link w:val="FootnoteTextChar"/>
    <w:rsid w:val="00FD5A55"/>
    <w:rPr>
      <w:sz w:val="20"/>
    </w:rPr>
  </w:style>
  <w:style w:type="character" w:customStyle="1" w:styleId="FootnoteTextChar">
    <w:name w:val="Footnote Text Char"/>
    <w:basedOn w:val="DefaultParagraphFont"/>
    <w:link w:val="FootnoteText"/>
    <w:rsid w:val="00FD5A55"/>
    <w:rPr>
      <w:rFonts w:ascii="Times New Roman" w:hAnsi="Times New Roman"/>
    </w:rPr>
  </w:style>
  <w:style w:type="character" w:styleId="FootnoteReference">
    <w:name w:val="footnote reference"/>
    <w:rsid w:val="00FD5A55"/>
    <w:rPr>
      <w:vertAlign w:val="superscript"/>
    </w:rPr>
  </w:style>
  <w:style w:type="character" w:customStyle="1" w:styleId="UnresolvedMention1">
    <w:name w:val="Unresolved Mention1"/>
    <w:basedOn w:val="DefaultParagraphFont"/>
    <w:uiPriority w:val="99"/>
    <w:semiHidden/>
    <w:unhideWhenUsed/>
    <w:rsid w:val="006374BD"/>
    <w:rPr>
      <w:color w:val="605E5C"/>
      <w:shd w:val="clear" w:color="auto" w:fill="E1DFDD"/>
    </w:rPr>
  </w:style>
  <w:style w:type="paragraph" w:styleId="ListParagraph">
    <w:name w:val="List Paragraph"/>
    <w:basedOn w:val="Normal"/>
    <w:uiPriority w:val="34"/>
    <w:qFormat/>
    <w:rsid w:val="002E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yperlink" Target="https://www.iso20022.org/catalogue-message-definitions-change-requests?block_id=iso20022_change_request_catalogue_message_definitions_block&amp;page=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2s-fam@bundesbank.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kristin.gonska@bundesbank.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tephanie.radet@bundesban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D790-29B1-4A20-8C1E-37D61382C145}">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5638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128</cp:revision>
  <cp:lastPrinted>2009-03-10T11:18:00Z</cp:lastPrinted>
  <dcterms:created xsi:type="dcterms:W3CDTF">2024-02-27T20:29:00Z</dcterms:created>
  <dcterms:modified xsi:type="dcterms:W3CDTF">2024-05-08T14:40:00Z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