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29F8" w14:textId="77777777" w:rsidR="00865C2F" w:rsidRPr="00865C2F" w:rsidRDefault="00DD37B4" w:rsidP="00865C2F">
      <w:pPr>
        <w:jc w:val="center"/>
        <w:rPr>
          <w:b/>
          <w:smallCaps/>
          <w:szCs w:val="24"/>
          <w:lang w:val="en-GB"/>
        </w:rPr>
      </w:pPr>
      <w:r>
        <w:rPr>
          <w:b/>
          <w:smallCaps/>
          <w:szCs w:val="24"/>
          <w:lang w:val="en-GB"/>
        </w:rPr>
        <w:t>Change Request</w:t>
      </w:r>
    </w:p>
    <w:p w14:paraId="29F0DDEC"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187E5D82"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42D61599"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A077277" w14:textId="052C51FC" w:rsidR="000408BA" w:rsidRDefault="008438AF" w:rsidP="008438AF">
      <w:pPr>
        <w:rPr>
          <w:szCs w:val="24"/>
          <w:lang w:val="en-GB"/>
        </w:rPr>
      </w:pPr>
      <w:r w:rsidRPr="008438AF">
        <w:rPr>
          <w:i/>
          <w:szCs w:val="24"/>
          <w:lang w:val="en-GB"/>
        </w:rPr>
        <w:t>A.1 Submitter</w:t>
      </w:r>
      <w:r>
        <w:rPr>
          <w:szCs w:val="24"/>
          <w:lang w:val="en-GB"/>
        </w:rPr>
        <w:t xml:space="preserve">: </w:t>
      </w:r>
      <w:r w:rsidR="002D07F9">
        <w:rPr>
          <w:szCs w:val="24"/>
          <w:lang w:val="en-GB"/>
        </w:rPr>
        <w:t xml:space="preserve">Steve Sloan, DTCC, ISITC </w:t>
      </w:r>
    </w:p>
    <w:p w14:paraId="7ABEF793" w14:textId="1051EB25"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person(s) who can be contacted to get additional information on the request (name, e-mail, telephone)</w:t>
      </w:r>
    </w:p>
    <w:p w14:paraId="31B69F91" w14:textId="7A34FF4E" w:rsidR="002D07F9" w:rsidRDefault="002D07F9" w:rsidP="008438AF">
      <w:pPr>
        <w:rPr>
          <w:szCs w:val="24"/>
          <w:lang w:val="en-GB"/>
        </w:rPr>
      </w:pPr>
      <w:r>
        <w:rPr>
          <w:szCs w:val="24"/>
          <w:lang w:val="en-GB"/>
        </w:rPr>
        <w:t>Steve Sloan</w:t>
      </w:r>
      <w:r w:rsidR="008170D7">
        <w:rPr>
          <w:szCs w:val="24"/>
          <w:lang w:val="en-GB"/>
        </w:rPr>
        <w:t xml:space="preserve">, </w:t>
      </w:r>
      <w:hyperlink r:id="rId10" w:history="1">
        <w:r w:rsidR="008170D7" w:rsidRPr="007622BC">
          <w:rPr>
            <w:rStyle w:val="Hyperlink"/>
            <w:szCs w:val="24"/>
            <w:lang w:val="en-GB"/>
          </w:rPr>
          <w:t>ssloan@dtcc.com</w:t>
        </w:r>
      </w:hyperlink>
      <w:r w:rsidR="008170D7">
        <w:rPr>
          <w:szCs w:val="24"/>
          <w:lang w:val="en-GB"/>
        </w:rPr>
        <w:t>, 972-471-5262</w:t>
      </w:r>
    </w:p>
    <w:p w14:paraId="0B2CB306" w14:textId="5E3344ED"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E74C04">
        <w:rPr>
          <w:szCs w:val="24"/>
          <w:lang w:val="en-GB"/>
        </w:rPr>
        <w:t>i</w:t>
      </w:r>
      <w:r w:rsidR="00E74C04" w:rsidRPr="00D84F87">
        <w:rPr>
          <w:szCs w:val="24"/>
          <w:lang w:val="en-GB"/>
        </w:rPr>
        <w:t xml:space="preserve">t is highly recommended that a submitter of a Change Request gain the agreement and support from as many additional organisations, groups, initiatives or communities of users as possible, thus demonstrating as wide as possible a consultation of the relevant stakeholders. All organisations, groups, initiatives or communities supporting the change request should be identified as sponsors along with a contact person, if possible. This community involvement is intended to help avoid delays and/or subsequent amendments to the </w:t>
      </w:r>
      <w:r w:rsidR="00E74C04">
        <w:rPr>
          <w:szCs w:val="24"/>
          <w:lang w:val="en-GB"/>
        </w:rPr>
        <w:t>c</w:t>
      </w:r>
      <w:r w:rsidR="00E74C04" w:rsidRPr="00D84F87">
        <w:rPr>
          <w:szCs w:val="24"/>
          <w:lang w:val="en-GB"/>
        </w:rPr>
        <w:t xml:space="preserve">hange </w:t>
      </w:r>
      <w:r w:rsidR="00E74C04">
        <w:rPr>
          <w:szCs w:val="24"/>
          <w:lang w:val="en-GB"/>
        </w:rPr>
        <w:t>r</w:t>
      </w:r>
      <w:r w:rsidR="00E74C04" w:rsidRPr="00D84F87">
        <w:rPr>
          <w:szCs w:val="24"/>
          <w:lang w:val="en-GB"/>
        </w:rPr>
        <w:t>equest.</w:t>
      </w:r>
    </w:p>
    <w:p w14:paraId="6FE82005" w14:textId="37215D8C" w:rsidR="008170D7" w:rsidRDefault="008170D7" w:rsidP="008438AF">
      <w:pPr>
        <w:rPr>
          <w:szCs w:val="24"/>
          <w:lang w:val="en-GB"/>
        </w:rPr>
      </w:pPr>
    </w:p>
    <w:p w14:paraId="160E95E9" w14:textId="31EF1A16" w:rsidR="008170D7" w:rsidRDefault="008170D7" w:rsidP="008438AF">
      <w:pPr>
        <w:rPr>
          <w:szCs w:val="24"/>
          <w:lang w:val="en-GB"/>
        </w:rPr>
      </w:pPr>
      <w:r>
        <w:rPr>
          <w:szCs w:val="24"/>
          <w:lang w:val="en-GB"/>
        </w:rPr>
        <w:t>ISITC</w:t>
      </w:r>
    </w:p>
    <w:p w14:paraId="4CDCA0F4" w14:textId="77777777" w:rsidR="00854FA6" w:rsidRDefault="00854FA6" w:rsidP="00854FA6">
      <w:pPr>
        <w:numPr>
          <w:ilvl w:val="0"/>
          <w:numId w:val="6"/>
        </w:numPr>
        <w:rPr>
          <w:b/>
          <w:lang w:val="en-GB"/>
        </w:rPr>
      </w:pPr>
      <w:r>
        <w:rPr>
          <w:b/>
          <w:lang w:val="en-GB"/>
        </w:rPr>
        <w:t>Related m</w:t>
      </w:r>
      <w:r w:rsidRPr="00451986">
        <w:rPr>
          <w:b/>
          <w:lang w:val="en-GB"/>
        </w:rPr>
        <w:t>essages:</w:t>
      </w:r>
    </w:p>
    <w:p w14:paraId="47179E30" w14:textId="77777777" w:rsidR="00854FA6" w:rsidRPr="00D123C1" w:rsidRDefault="00854FA6" w:rsidP="00854FA6">
      <w:pPr>
        <w:rPr>
          <w:szCs w:val="24"/>
          <w:lang w:val="en-GB"/>
        </w:rPr>
      </w:pPr>
      <w:r>
        <w:rPr>
          <w:lang w:val="en-GB"/>
        </w:rPr>
        <w:t xml:space="preserve">The list of ISO 20022 messages which would be impacted by the change, including the Message IDs as shown in the </w:t>
      </w:r>
      <w:hyperlink r:id="rId11" w:history="1">
        <w:r w:rsidRPr="00854FA6">
          <w:rPr>
            <w:rStyle w:val="Hyperlink"/>
            <w:lang w:val="en-GB"/>
          </w:rPr>
          <w:t xml:space="preserve">Catalogue of ISO 20022 </w:t>
        </w:r>
        <w:r>
          <w:rPr>
            <w:rStyle w:val="Hyperlink"/>
            <w:lang w:val="en-GB"/>
          </w:rPr>
          <w:t>m</w:t>
        </w:r>
        <w:r w:rsidRPr="00854FA6">
          <w:rPr>
            <w:rStyle w:val="Hyperlink"/>
            <w:lang w:val="en-GB"/>
          </w:rPr>
          <w:t>essages</w:t>
        </w:r>
      </w:hyperlink>
      <w:r>
        <w:rPr>
          <w:lang w:val="en-GB"/>
        </w:rPr>
        <w:t>.</w:t>
      </w:r>
      <w:r w:rsidR="006E2522">
        <w:rPr>
          <w:lang w:val="en-GB"/>
        </w:rPr>
        <w:t xml:space="preserve"> Only the latest version of a message definition can be maintained.</w:t>
      </w:r>
    </w:p>
    <w:p w14:paraId="701C6057" w14:textId="3CC89F06" w:rsidR="00854FA6" w:rsidRDefault="00854FA6" w:rsidP="00854FA6">
      <w:pPr>
        <w:rPr>
          <w:szCs w:val="24"/>
          <w:lang w:val="en-GB"/>
        </w:rPr>
      </w:pPr>
      <w:r>
        <w:rPr>
          <w:szCs w:val="24"/>
          <w:lang w:val="en-GB"/>
        </w:rPr>
        <w:t xml:space="preserve">The submitter is invited to carefully examine whether the change may have an impact on other messages that come into play earlier or later in the transaction chain or on other messages that also use message components that this change request may impact.    </w:t>
      </w:r>
    </w:p>
    <w:p w14:paraId="77898BA2" w14:textId="01DF8915" w:rsidR="008170D7" w:rsidRDefault="0018316D" w:rsidP="00854FA6">
      <w:pPr>
        <w:rPr>
          <w:szCs w:val="24"/>
          <w:lang w:val="en-GB"/>
        </w:rPr>
      </w:pPr>
      <w:r>
        <w:rPr>
          <w:szCs w:val="24"/>
          <w:lang w:val="en-GB"/>
        </w:rPr>
        <w:t>Seev.011.001.01</w:t>
      </w:r>
      <w:r w:rsidR="00282D4E">
        <w:rPr>
          <w:szCs w:val="24"/>
          <w:lang w:val="en-GB"/>
        </w:rPr>
        <w:t xml:space="preserve"> – Agent Notification Status Advice </w:t>
      </w:r>
    </w:p>
    <w:p w14:paraId="19E3AE4E" w14:textId="77777777" w:rsidR="008170D7" w:rsidRPr="00451986" w:rsidRDefault="008170D7" w:rsidP="00854FA6">
      <w:pPr>
        <w:rPr>
          <w:b/>
          <w:lang w:val="en-GB"/>
        </w:rPr>
      </w:pPr>
    </w:p>
    <w:p w14:paraId="0BA8DFB2" w14:textId="77777777" w:rsidR="00854FA6" w:rsidRDefault="006D4A37" w:rsidP="00854FA6">
      <w:pPr>
        <w:numPr>
          <w:ilvl w:val="0"/>
          <w:numId w:val="6"/>
        </w:numPr>
        <w:rPr>
          <w:lang w:val="en-GB"/>
        </w:rPr>
      </w:pPr>
      <w:r>
        <w:rPr>
          <w:b/>
          <w:lang w:val="en-GB"/>
        </w:rPr>
        <w:t>Description of the change request:</w:t>
      </w:r>
    </w:p>
    <w:p w14:paraId="04A2AFCE" w14:textId="703F2B87" w:rsidR="002C6546" w:rsidRDefault="002C6546" w:rsidP="000408BA">
      <w:pPr>
        <w:rPr>
          <w:szCs w:val="24"/>
          <w:lang w:val="en-GB"/>
        </w:rPr>
      </w:pPr>
    </w:p>
    <w:p w14:paraId="1C0D32F7" w14:textId="42AFEABC" w:rsidR="006E63B3" w:rsidRDefault="002C6546" w:rsidP="000408BA">
      <w:pPr>
        <w:rPr>
          <w:szCs w:val="24"/>
          <w:lang w:val="en-GB"/>
        </w:rPr>
      </w:pPr>
      <w:r>
        <w:rPr>
          <w:szCs w:val="24"/>
          <w:lang w:val="en-GB"/>
        </w:rPr>
        <w:t xml:space="preserve">This change request seeks to update the seev.011.001.01 </w:t>
      </w:r>
      <w:r w:rsidR="00FF4DBA">
        <w:rPr>
          <w:szCs w:val="24"/>
          <w:lang w:val="en-GB"/>
        </w:rPr>
        <w:t xml:space="preserve">Agent Notification Status Advice.  This message was originally created but has not been maintained </w:t>
      </w:r>
      <w:r w:rsidR="002B2A61">
        <w:rPr>
          <w:szCs w:val="24"/>
          <w:lang w:val="en-GB"/>
        </w:rPr>
        <w:t xml:space="preserve">since its adoption.  </w:t>
      </w:r>
    </w:p>
    <w:p w14:paraId="71CD01D7" w14:textId="015E2AFF" w:rsidR="000B62B4" w:rsidRDefault="000B62B4" w:rsidP="000408BA">
      <w:pPr>
        <w:rPr>
          <w:szCs w:val="24"/>
          <w:lang w:val="en-GB"/>
        </w:rPr>
      </w:pPr>
    </w:p>
    <w:p w14:paraId="14A43110" w14:textId="35715945" w:rsidR="000B62B4" w:rsidRDefault="000B62B4" w:rsidP="00E13700">
      <w:pPr>
        <w:pStyle w:val="ListParagraph"/>
        <w:numPr>
          <w:ilvl w:val="0"/>
          <w:numId w:val="17"/>
        </w:numPr>
        <w:rPr>
          <w:szCs w:val="24"/>
          <w:lang w:val="en-GB"/>
        </w:rPr>
      </w:pPr>
      <w:r w:rsidRPr="00E13700">
        <w:rPr>
          <w:szCs w:val="24"/>
          <w:lang w:val="en-GB"/>
        </w:rPr>
        <w:t xml:space="preserve">Structurally the message should </w:t>
      </w:r>
      <w:r w:rsidR="00C422DB" w:rsidRPr="00E13700">
        <w:rPr>
          <w:szCs w:val="24"/>
          <w:lang w:val="en-GB"/>
        </w:rPr>
        <w:t xml:space="preserve">remove the usage of the {XOR} choice structure and use the current </w:t>
      </w:r>
      <w:r w:rsidR="00FD5256" w:rsidRPr="00E13700">
        <w:rPr>
          <w:szCs w:val="24"/>
          <w:lang w:val="en-GB"/>
        </w:rPr>
        <w:t xml:space="preserve">format in ISO 20022 Corporate Action Messages </w:t>
      </w:r>
    </w:p>
    <w:p w14:paraId="587A8C6C" w14:textId="77777777" w:rsidR="00BC19FA" w:rsidRDefault="00BC19FA" w:rsidP="0035535D">
      <w:pPr>
        <w:pStyle w:val="ListParagraph"/>
        <w:rPr>
          <w:szCs w:val="24"/>
          <w:lang w:val="en-GB"/>
        </w:rPr>
      </w:pPr>
    </w:p>
    <w:p w14:paraId="46EABBB5" w14:textId="2982D993" w:rsidR="005C34E8" w:rsidRDefault="005C34E8" w:rsidP="00E13700">
      <w:pPr>
        <w:pStyle w:val="ListParagraph"/>
        <w:numPr>
          <w:ilvl w:val="0"/>
          <w:numId w:val="17"/>
        </w:numPr>
        <w:rPr>
          <w:szCs w:val="24"/>
          <w:lang w:val="en-GB"/>
        </w:rPr>
      </w:pPr>
      <w:r>
        <w:rPr>
          <w:szCs w:val="24"/>
          <w:lang w:val="en-GB"/>
        </w:rPr>
        <w:t xml:space="preserve">Identification – Definition should state that this is the </w:t>
      </w:r>
      <w:r w:rsidR="00C06CE8">
        <w:rPr>
          <w:szCs w:val="24"/>
          <w:lang w:val="en-GB"/>
        </w:rPr>
        <w:t xml:space="preserve">Business Message Identifier of the Agent Announcement </w:t>
      </w:r>
    </w:p>
    <w:p w14:paraId="20D408B1" w14:textId="77777777" w:rsidR="000B62B4" w:rsidRDefault="000B62B4" w:rsidP="000408BA">
      <w:pPr>
        <w:rPr>
          <w:szCs w:val="24"/>
          <w:lang w:val="en-GB"/>
        </w:rPr>
      </w:pPr>
    </w:p>
    <w:p w14:paraId="1D6FC1AD" w14:textId="1CF25909" w:rsidR="00D96108" w:rsidRDefault="00D96108" w:rsidP="00E13700">
      <w:pPr>
        <w:pStyle w:val="ListParagraph"/>
        <w:numPr>
          <w:ilvl w:val="0"/>
          <w:numId w:val="17"/>
        </w:numPr>
        <w:rPr>
          <w:szCs w:val="24"/>
          <w:lang w:val="en-GB"/>
        </w:rPr>
      </w:pPr>
      <w:r w:rsidRPr="00E13700">
        <w:rPr>
          <w:szCs w:val="24"/>
          <w:u w:val="single"/>
          <w:lang w:val="en-GB"/>
        </w:rPr>
        <w:t>Event Type:</w:t>
      </w:r>
      <w:r w:rsidRPr="00E13700">
        <w:rPr>
          <w:szCs w:val="24"/>
          <w:lang w:val="en-GB"/>
        </w:rPr>
        <w:t xml:space="preserve">  </w:t>
      </w:r>
      <w:r w:rsidR="0024186B" w:rsidRPr="00E13700">
        <w:rPr>
          <w:szCs w:val="24"/>
          <w:lang w:val="en-GB"/>
        </w:rPr>
        <w:t>Utilize the Event</w:t>
      </w:r>
      <w:r w:rsidR="009D00CC" w:rsidRPr="00E13700">
        <w:rPr>
          <w:szCs w:val="24"/>
          <w:lang w:val="en-GB"/>
        </w:rPr>
        <w:t xml:space="preserve"> Type structure “CorporateActionEventType89Choice</w:t>
      </w:r>
    </w:p>
    <w:p w14:paraId="2A9B9E3F" w14:textId="77777777" w:rsidR="009D00CC" w:rsidRDefault="009D00CC" w:rsidP="000408BA">
      <w:pPr>
        <w:rPr>
          <w:szCs w:val="24"/>
          <w:lang w:val="en-GB"/>
        </w:rPr>
      </w:pPr>
    </w:p>
    <w:p w14:paraId="13435C93" w14:textId="3F75FE12" w:rsidR="00637428" w:rsidRDefault="006E63B3" w:rsidP="00E13700">
      <w:pPr>
        <w:pStyle w:val="ListParagraph"/>
        <w:numPr>
          <w:ilvl w:val="0"/>
          <w:numId w:val="17"/>
        </w:numPr>
        <w:rPr>
          <w:szCs w:val="24"/>
          <w:lang w:val="en-GB"/>
        </w:rPr>
      </w:pPr>
      <w:r w:rsidRPr="00E13700">
        <w:rPr>
          <w:szCs w:val="24"/>
          <w:u w:val="single"/>
          <w:lang w:val="en-GB"/>
        </w:rPr>
        <w:t>Underlying Security</w:t>
      </w:r>
      <w:r w:rsidRPr="00E13700">
        <w:rPr>
          <w:szCs w:val="24"/>
          <w:lang w:val="en-GB"/>
        </w:rPr>
        <w:t>:</w:t>
      </w:r>
      <w:r w:rsidR="006C08D6" w:rsidRPr="00E13700">
        <w:rPr>
          <w:szCs w:val="24"/>
          <w:lang w:val="en-GB"/>
        </w:rPr>
        <w:t xml:space="preserve"> </w:t>
      </w:r>
      <w:r w:rsidR="004B0B65" w:rsidRPr="00E13700">
        <w:rPr>
          <w:szCs w:val="24"/>
          <w:lang w:val="en-GB"/>
        </w:rPr>
        <w:t xml:space="preserve">To use </w:t>
      </w:r>
      <w:r w:rsidR="007C0C9E" w:rsidRPr="00E13700">
        <w:rPr>
          <w:szCs w:val="24"/>
          <w:lang w:val="en-GB"/>
        </w:rPr>
        <w:t xml:space="preserve">the same structure as </w:t>
      </w:r>
      <w:r w:rsidR="00F859BF" w:rsidRPr="00E13700">
        <w:rPr>
          <w:szCs w:val="24"/>
          <w:lang w:val="en-GB"/>
        </w:rPr>
        <w:t xml:space="preserve">the Financial Instrument </w:t>
      </w:r>
      <w:r w:rsidR="00F00885" w:rsidRPr="00E13700">
        <w:rPr>
          <w:szCs w:val="24"/>
          <w:lang w:val="en-GB"/>
        </w:rPr>
        <w:t>Identification</w:t>
      </w:r>
      <w:r w:rsidR="00F859BF" w:rsidRPr="00E13700">
        <w:rPr>
          <w:szCs w:val="24"/>
          <w:lang w:val="en-GB"/>
        </w:rPr>
        <w:t xml:space="preserve"> within the seev.031 message</w:t>
      </w:r>
    </w:p>
    <w:p w14:paraId="2F8012C0" w14:textId="77777777" w:rsidR="00665C14" w:rsidRPr="00665C14" w:rsidRDefault="00665C14" w:rsidP="00665C14">
      <w:pPr>
        <w:pStyle w:val="ListParagraph"/>
        <w:rPr>
          <w:szCs w:val="24"/>
          <w:lang w:val="en-GB"/>
        </w:rPr>
      </w:pPr>
    </w:p>
    <w:p w14:paraId="2CA0CA5D" w14:textId="4FEC2E19" w:rsidR="00665C14" w:rsidRDefault="00665C14" w:rsidP="00665C14">
      <w:pPr>
        <w:pStyle w:val="ListParagraph"/>
        <w:rPr>
          <w:szCs w:val="24"/>
          <w:lang w:val="en-GB"/>
        </w:rPr>
      </w:pPr>
      <w:r>
        <w:rPr>
          <w:noProof/>
        </w:rPr>
        <w:drawing>
          <wp:inline distT="0" distB="0" distL="0" distR="0" wp14:anchorId="32B159F0" wp14:editId="6CC9D3FF">
            <wp:extent cx="5701030" cy="1170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01030" cy="1170940"/>
                    </a:xfrm>
                    <a:prstGeom prst="rect">
                      <a:avLst/>
                    </a:prstGeom>
                  </pic:spPr>
                </pic:pic>
              </a:graphicData>
            </a:graphic>
          </wp:inline>
        </w:drawing>
      </w:r>
    </w:p>
    <w:p w14:paraId="629AD60F" w14:textId="77777777" w:rsidR="003B2EAD" w:rsidRPr="003B2EAD" w:rsidRDefault="003B2EAD" w:rsidP="003B2EAD">
      <w:pPr>
        <w:pStyle w:val="ListParagraph"/>
        <w:rPr>
          <w:szCs w:val="24"/>
          <w:lang w:val="en-GB"/>
        </w:rPr>
      </w:pPr>
    </w:p>
    <w:p w14:paraId="55C1E161" w14:textId="1FBBF6C4" w:rsidR="00F30BFA" w:rsidRPr="008F3C45" w:rsidRDefault="003B2EAD" w:rsidP="00DE14D1">
      <w:pPr>
        <w:pStyle w:val="ListParagraph"/>
        <w:numPr>
          <w:ilvl w:val="0"/>
          <w:numId w:val="17"/>
        </w:numPr>
        <w:rPr>
          <w:szCs w:val="24"/>
          <w:lang w:val="en-GB"/>
        </w:rPr>
      </w:pPr>
      <w:r w:rsidRPr="008F3C45">
        <w:rPr>
          <w:szCs w:val="24"/>
          <w:u w:val="single"/>
          <w:lang w:val="en-GB"/>
        </w:rPr>
        <w:t xml:space="preserve">Other Underlying Security </w:t>
      </w:r>
      <w:r w:rsidR="008F3C45">
        <w:rPr>
          <w:szCs w:val="24"/>
          <w:lang w:val="en-GB"/>
        </w:rPr>
        <w:t xml:space="preserve">Should be Other Identification </w:t>
      </w:r>
      <w:r w:rsidR="00AB1FAA">
        <w:rPr>
          <w:szCs w:val="24"/>
          <w:lang w:val="en-GB"/>
        </w:rPr>
        <w:t>within the Financial Instrument Identification as shown above</w:t>
      </w:r>
      <w:r w:rsidR="0047054F">
        <w:rPr>
          <w:szCs w:val="24"/>
          <w:lang w:val="en-GB"/>
        </w:rPr>
        <w:t xml:space="preserve">.  This should be mapped to the </w:t>
      </w:r>
      <w:r w:rsidR="00DE5ECE">
        <w:rPr>
          <w:szCs w:val="24"/>
          <w:lang w:val="en-GB"/>
        </w:rPr>
        <w:t xml:space="preserve">OtherIdentification2 datatype in line with the seev.031 CANO message.  </w:t>
      </w:r>
    </w:p>
    <w:p w14:paraId="01B34745" w14:textId="488A9886" w:rsidR="00F30BFA" w:rsidRDefault="00F30BFA" w:rsidP="00F30BFA">
      <w:pPr>
        <w:pStyle w:val="ListParagraph"/>
        <w:rPr>
          <w:szCs w:val="24"/>
          <w:lang w:val="en-GB"/>
        </w:rPr>
      </w:pPr>
    </w:p>
    <w:p w14:paraId="080A2553" w14:textId="065BD94F" w:rsidR="00EA6BAB" w:rsidRPr="00E13700" w:rsidRDefault="00EA6BAB" w:rsidP="00F30BFA">
      <w:pPr>
        <w:pStyle w:val="ListParagraph"/>
        <w:rPr>
          <w:szCs w:val="24"/>
          <w:lang w:val="en-GB"/>
        </w:rPr>
      </w:pPr>
      <w:r>
        <w:rPr>
          <w:noProof/>
        </w:rPr>
        <w:drawing>
          <wp:inline distT="0" distB="0" distL="0" distR="0" wp14:anchorId="0CAC6B03" wp14:editId="058E458C">
            <wp:extent cx="5701030" cy="1012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01030" cy="1012825"/>
                    </a:xfrm>
                    <a:prstGeom prst="rect">
                      <a:avLst/>
                    </a:prstGeom>
                  </pic:spPr>
                </pic:pic>
              </a:graphicData>
            </a:graphic>
          </wp:inline>
        </w:drawing>
      </w:r>
    </w:p>
    <w:p w14:paraId="423B7A11" w14:textId="6F7AFE40" w:rsidR="0096378E" w:rsidRDefault="00F30BFA" w:rsidP="001A7876">
      <w:pPr>
        <w:pStyle w:val="ListParagraph"/>
        <w:numPr>
          <w:ilvl w:val="0"/>
          <w:numId w:val="17"/>
        </w:numPr>
        <w:rPr>
          <w:szCs w:val="24"/>
          <w:lang w:val="en-GB"/>
        </w:rPr>
      </w:pPr>
      <w:r w:rsidRPr="005814C2">
        <w:rPr>
          <w:szCs w:val="24"/>
          <w:u w:val="single"/>
          <w:lang w:val="en-GB"/>
        </w:rPr>
        <w:t>Official Corporate Action Event Identification</w:t>
      </w:r>
      <w:r w:rsidRPr="005814C2">
        <w:rPr>
          <w:szCs w:val="24"/>
          <w:lang w:val="en-GB"/>
        </w:rPr>
        <w:t xml:space="preserve"> should be added </w:t>
      </w:r>
      <w:r w:rsidR="00DE79BA" w:rsidRPr="005814C2">
        <w:rPr>
          <w:szCs w:val="24"/>
          <w:lang w:val="en-GB"/>
        </w:rPr>
        <w:t>within Corporate Action General Information</w:t>
      </w:r>
      <w:r w:rsidR="002F4B64" w:rsidRPr="005814C2">
        <w:rPr>
          <w:szCs w:val="24"/>
          <w:lang w:val="en-GB"/>
        </w:rPr>
        <w:t xml:space="preserve">.  </w:t>
      </w:r>
    </w:p>
    <w:p w14:paraId="23F41B8B" w14:textId="77777777" w:rsidR="005814C2" w:rsidRPr="005814C2" w:rsidRDefault="005814C2" w:rsidP="005814C2">
      <w:pPr>
        <w:pStyle w:val="ListParagraph"/>
        <w:rPr>
          <w:szCs w:val="24"/>
          <w:lang w:val="en-GB"/>
        </w:rPr>
      </w:pPr>
    </w:p>
    <w:p w14:paraId="5C78DE46" w14:textId="77777777" w:rsidR="005814C2" w:rsidRPr="005814C2" w:rsidRDefault="005814C2" w:rsidP="005814C2">
      <w:pPr>
        <w:pStyle w:val="ListParagraph"/>
        <w:rPr>
          <w:szCs w:val="24"/>
          <w:lang w:val="en-GB"/>
        </w:rPr>
      </w:pPr>
    </w:p>
    <w:p w14:paraId="4137DF1C" w14:textId="306E79D5" w:rsidR="0096378E" w:rsidRDefault="0096378E" w:rsidP="0096378E">
      <w:pPr>
        <w:rPr>
          <w:szCs w:val="24"/>
          <w:lang w:val="en-GB"/>
        </w:rPr>
      </w:pPr>
      <w:r>
        <w:rPr>
          <w:szCs w:val="24"/>
          <w:lang w:val="en-GB"/>
        </w:rPr>
        <w:t xml:space="preserve">Processed Status - new Pending Code </w:t>
      </w:r>
      <w:r w:rsidR="00616237">
        <w:rPr>
          <w:szCs w:val="24"/>
          <w:lang w:val="en-GB"/>
        </w:rPr>
        <w:t xml:space="preserve">(PEND) should be added to Status with values </w:t>
      </w:r>
    </w:p>
    <w:p w14:paraId="0AF24ECA" w14:textId="1427F118" w:rsidR="00616237" w:rsidRDefault="00125BB5" w:rsidP="005660C0">
      <w:pPr>
        <w:pStyle w:val="ListParagraph"/>
        <w:numPr>
          <w:ilvl w:val="0"/>
          <w:numId w:val="18"/>
        </w:numPr>
        <w:rPr>
          <w:szCs w:val="24"/>
          <w:lang w:val="en-GB"/>
        </w:rPr>
      </w:pPr>
      <w:r>
        <w:rPr>
          <w:szCs w:val="24"/>
          <w:lang w:val="en-GB"/>
        </w:rPr>
        <w:t xml:space="preserve">Pending </w:t>
      </w:r>
      <w:r w:rsidR="00447021">
        <w:rPr>
          <w:szCs w:val="24"/>
          <w:lang w:val="en-GB"/>
        </w:rPr>
        <w:t>Confirmation (</w:t>
      </w:r>
      <w:r w:rsidR="00C24771">
        <w:rPr>
          <w:szCs w:val="24"/>
          <w:lang w:val="en-GB"/>
        </w:rPr>
        <w:t>PENC</w:t>
      </w:r>
      <w:r w:rsidR="00D30E79">
        <w:rPr>
          <w:szCs w:val="24"/>
          <w:lang w:val="en-GB"/>
        </w:rPr>
        <w:t>)</w:t>
      </w:r>
    </w:p>
    <w:p w14:paraId="29AF2A09" w14:textId="106EC5CC" w:rsidR="005660C0" w:rsidRDefault="00AA7534" w:rsidP="005660C0">
      <w:pPr>
        <w:pStyle w:val="ListParagraph"/>
        <w:numPr>
          <w:ilvl w:val="0"/>
          <w:numId w:val="18"/>
        </w:numPr>
        <w:rPr>
          <w:szCs w:val="24"/>
          <w:lang w:val="en-GB"/>
        </w:rPr>
      </w:pPr>
      <w:r>
        <w:rPr>
          <w:szCs w:val="24"/>
          <w:lang w:val="en-GB"/>
        </w:rPr>
        <w:t xml:space="preserve">System Not Available </w:t>
      </w:r>
      <w:r w:rsidR="00AF1E98">
        <w:rPr>
          <w:szCs w:val="24"/>
          <w:lang w:val="en-GB"/>
        </w:rPr>
        <w:t>(SNAV)</w:t>
      </w:r>
    </w:p>
    <w:p w14:paraId="24831DC9" w14:textId="4E473D8B" w:rsidR="00496AFC" w:rsidRDefault="00496AFC" w:rsidP="00496AFC">
      <w:pPr>
        <w:pStyle w:val="ListParagraph"/>
        <w:ind w:left="0"/>
        <w:rPr>
          <w:szCs w:val="24"/>
          <w:lang w:val="en-GB"/>
        </w:rPr>
      </w:pPr>
    </w:p>
    <w:p w14:paraId="1E10CB33" w14:textId="2FDA33E6" w:rsidR="00496AFC" w:rsidRDefault="002E22AD" w:rsidP="00496AFC">
      <w:pPr>
        <w:pStyle w:val="ListParagraph"/>
        <w:ind w:left="0"/>
        <w:rPr>
          <w:szCs w:val="24"/>
          <w:lang w:val="en-GB"/>
        </w:rPr>
      </w:pPr>
      <w:r w:rsidRPr="001C333B">
        <w:rPr>
          <w:szCs w:val="24"/>
          <w:u w:val="single"/>
          <w:lang w:val="en-GB"/>
        </w:rPr>
        <w:t>Rejected Status</w:t>
      </w:r>
      <w:r>
        <w:rPr>
          <w:szCs w:val="24"/>
          <w:lang w:val="en-GB"/>
        </w:rPr>
        <w:t xml:space="preserve"> – Add the following </w:t>
      </w:r>
      <w:r w:rsidR="001C333B">
        <w:rPr>
          <w:szCs w:val="24"/>
          <w:lang w:val="en-GB"/>
        </w:rPr>
        <w:t>n</w:t>
      </w:r>
      <w:r>
        <w:rPr>
          <w:szCs w:val="24"/>
          <w:lang w:val="en-GB"/>
        </w:rPr>
        <w:t xml:space="preserve">ew codes:  </w:t>
      </w:r>
    </w:p>
    <w:tbl>
      <w:tblPr>
        <w:tblW w:w="7980" w:type="dxa"/>
        <w:tblLook w:val="04A0" w:firstRow="1" w:lastRow="0" w:firstColumn="1" w:lastColumn="0" w:noHBand="0" w:noVBand="1"/>
      </w:tblPr>
      <w:tblGrid>
        <w:gridCol w:w="5480"/>
        <w:gridCol w:w="2500"/>
      </w:tblGrid>
      <w:tr w:rsidR="001C333B" w:rsidRPr="001C333B" w14:paraId="610C93D8" w14:textId="77777777" w:rsidTr="001C333B">
        <w:trPr>
          <w:trHeight w:val="255"/>
        </w:trPr>
        <w:tc>
          <w:tcPr>
            <w:tcW w:w="5480" w:type="dxa"/>
            <w:tcBorders>
              <w:top w:val="nil"/>
              <w:left w:val="nil"/>
              <w:bottom w:val="nil"/>
              <w:right w:val="nil"/>
            </w:tcBorders>
            <w:shd w:val="clear" w:color="auto" w:fill="auto"/>
            <w:noWrap/>
            <w:vAlign w:val="bottom"/>
            <w:hideMark/>
          </w:tcPr>
          <w:p w14:paraId="1DA56F25"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Proration Rate</w:t>
            </w:r>
          </w:p>
        </w:tc>
        <w:tc>
          <w:tcPr>
            <w:tcW w:w="2500" w:type="dxa"/>
            <w:tcBorders>
              <w:top w:val="nil"/>
              <w:left w:val="nil"/>
              <w:bottom w:val="nil"/>
              <w:right w:val="nil"/>
            </w:tcBorders>
            <w:shd w:val="clear" w:color="auto" w:fill="auto"/>
            <w:noWrap/>
            <w:vAlign w:val="bottom"/>
            <w:hideMark/>
          </w:tcPr>
          <w:p w14:paraId="6EA59330"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PROR</w:t>
            </w:r>
          </w:p>
        </w:tc>
      </w:tr>
      <w:tr w:rsidR="001C333B" w:rsidRPr="001C333B" w14:paraId="2D0AB3B8" w14:textId="77777777" w:rsidTr="001C333B">
        <w:trPr>
          <w:trHeight w:val="255"/>
        </w:trPr>
        <w:tc>
          <w:tcPr>
            <w:tcW w:w="5480" w:type="dxa"/>
            <w:tcBorders>
              <w:top w:val="nil"/>
              <w:left w:val="nil"/>
              <w:bottom w:val="nil"/>
              <w:right w:val="nil"/>
            </w:tcBorders>
            <w:shd w:val="clear" w:color="auto" w:fill="auto"/>
            <w:noWrap/>
            <w:vAlign w:val="bottom"/>
            <w:hideMark/>
          </w:tcPr>
          <w:p w14:paraId="3A90A59A"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Bid Interval</w:t>
            </w:r>
          </w:p>
        </w:tc>
        <w:tc>
          <w:tcPr>
            <w:tcW w:w="2500" w:type="dxa"/>
            <w:tcBorders>
              <w:top w:val="nil"/>
              <w:left w:val="nil"/>
              <w:bottom w:val="nil"/>
              <w:right w:val="nil"/>
            </w:tcBorders>
            <w:shd w:val="clear" w:color="auto" w:fill="auto"/>
            <w:noWrap/>
            <w:vAlign w:val="bottom"/>
            <w:hideMark/>
          </w:tcPr>
          <w:p w14:paraId="5A2DE082"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INTV</w:t>
            </w:r>
          </w:p>
        </w:tc>
      </w:tr>
      <w:tr w:rsidR="001C333B" w:rsidRPr="001C333B" w14:paraId="627D6948" w14:textId="77777777" w:rsidTr="001C333B">
        <w:trPr>
          <w:trHeight w:val="255"/>
        </w:trPr>
        <w:tc>
          <w:tcPr>
            <w:tcW w:w="5480" w:type="dxa"/>
            <w:tcBorders>
              <w:top w:val="nil"/>
              <w:left w:val="nil"/>
              <w:bottom w:val="nil"/>
              <w:right w:val="nil"/>
            </w:tcBorders>
            <w:shd w:val="clear" w:color="auto" w:fill="auto"/>
            <w:noWrap/>
            <w:vAlign w:val="bottom"/>
            <w:hideMark/>
          </w:tcPr>
          <w:p w14:paraId="0E9D612E"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Minimum Price</w:t>
            </w:r>
          </w:p>
        </w:tc>
        <w:tc>
          <w:tcPr>
            <w:tcW w:w="2500" w:type="dxa"/>
            <w:tcBorders>
              <w:top w:val="nil"/>
              <w:left w:val="nil"/>
              <w:bottom w:val="nil"/>
              <w:right w:val="nil"/>
            </w:tcBorders>
            <w:shd w:val="clear" w:color="auto" w:fill="auto"/>
            <w:noWrap/>
            <w:vAlign w:val="bottom"/>
            <w:hideMark/>
          </w:tcPr>
          <w:p w14:paraId="46A5D231"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MINP</w:t>
            </w:r>
          </w:p>
        </w:tc>
      </w:tr>
      <w:tr w:rsidR="001C333B" w:rsidRPr="001C333B" w14:paraId="3B5C0421" w14:textId="77777777" w:rsidTr="001C333B">
        <w:trPr>
          <w:trHeight w:val="255"/>
        </w:trPr>
        <w:tc>
          <w:tcPr>
            <w:tcW w:w="5480" w:type="dxa"/>
            <w:tcBorders>
              <w:top w:val="nil"/>
              <w:left w:val="nil"/>
              <w:bottom w:val="nil"/>
              <w:right w:val="nil"/>
            </w:tcBorders>
            <w:shd w:val="clear" w:color="auto" w:fill="auto"/>
            <w:noWrap/>
            <w:vAlign w:val="bottom"/>
            <w:hideMark/>
          </w:tcPr>
          <w:p w14:paraId="003CD3F0"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Maximum Price</w:t>
            </w:r>
          </w:p>
        </w:tc>
        <w:tc>
          <w:tcPr>
            <w:tcW w:w="2500" w:type="dxa"/>
            <w:tcBorders>
              <w:top w:val="nil"/>
              <w:left w:val="nil"/>
              <w:bottom w:val="nil"/>
              <w:right w:val="nil"/>
            </w:tcBorders>
            <w:shd w:val="clear" w:color="auto" w:fill="auto"/>
            <w:noWrap/>
            <w:vAlign w:val="bottom"/>
            <w:hideMark/>
          </w:tcPr>
          <w:p w14:paraId="389B5D6E"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MAXP</w:t>
            </w:r>
          </w:p>
        </w:tc>
      </w:tr>
      <w:tr w:rsidR="001C333B" w:rsidRPr="001C333B" w14:paraId="14B0E06E" w14:textId="77777777" w:rsidTr="001C333B">
        <w:trPr>
          <w:trHeight w:val="255"/>
        </w:trPr>
        <w:tc>
          <w:tcPr>
            <w:tcW w:w="5480" w:type="dxa"/>
            <w:tcBorders>
              <w:top w:val="nil"/>
              <w:left w:val="nil"/>
              <w:bottom w:val="nil"/>
              <w:right w:val="nil"/>
            </w:tcBorders>
            <w:shd w:val="clear" w:color="auto" w:fill="auto"/>
            <w:noWrap/>
            <w:vAlign w:val="bottom"/>
            <w:hideMark/>
          </w:tcPr>
          <w:p w14:paraId="54172C92"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 xml:space="preserve">Missing First Bid Increment </w:t>
            </w:r>
          </w:p>
        </w:tc>
        <w:tc>
          <w:tcPr>
            <w:tcW w:w="2500" w:type="dxa"/>
            <w:tcBorders>
              <w:top w:val="nil"/>
              <w:left w:val="nil"/>
              <w:bottom w:val="nil"/>
              <w:right w:val="nil"/>
            </w:tcBorders>
            <w:shd w:val="clear" w:color="auto" w:fill="auto"/>
            <w:noWrap/>
            <w:vAlign w:val="bottom"/>
            <w:hideMark/>
          </w:tcPr>
          <w:p w14:paraId="1815BAED"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FIRS</w:t>
            </w:r>
          </w:p>
        </w:tc>
      </w:tr>
      <w:tr w:rsidR="001C333B" w:rsidRPr="001C333B" w14:paraId="51309150" w14:textId="77777777" w:rsidTr="001C333B">
        <w:trPr>
          <w:trHeight w:val="255"/>
        </w:trPr>
        <w:tc>
          <w:tcPr>
            <w:tcW w:w="5480" w:type="dxa"/>
            <w:tcBorders>
              <w:top w:val="nil"/>
              <w:left w:val="nil"/>
              <w:bottom w:val="nil"/>
              <w:right w:val="nil"/>
            </w:tcBorders>
            <w:shd w:val="clear" w:color="auto" w:fill="auto"/>
            <w:noWrap/>
            <w:vAlign w:val="bottom"/>
            <w:hideMark/>
          </w:tcPr>
          <w:p w14:paraId="609E96A1"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 xml:space="preserve">Missing Last Bid Increment </w:t>
            </w:r>
          </w:p>
        </w:tc>
        <w:tc>
          <w:tcPr>
            <w:tcW w:w="2500" w:type="dxa"/>
            <w:tcBorders>
              <w:top w:val="nil"/>
              <w:left w:val="nil"/>
              <w:bottom w:val="nil"/>
              <w:right w:val="nil"/>
            </w:tcBorders>
            <w:shd w:val="clear" w:color="auto" w:fill="auto"/>
            <w:noWrap/>
            <w:vAlign w:val="bottom"/>
            <w:hideMark/>
          </w:tcPr>
          <w:p w14:paraId="3F0580F2"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LAST</w:t>
            </w:r>
          </w:p>
        </w:tc>
      </w:tr>
      <w:tr w:rsidR="001C333B" w:rsidRPr="001C333B" w14:paraId="55F616B6" w14:textId="77777777" w:rsidTr="001C333B">
        <w:trPr>
          <w:trHeight w:val="255"/>
        </w:trPr>
        <w:tc>
          <w:tcPr>
            <w:tcW w:w="5480" w:type="dxa"/>
            <w:tcBorders>
              <w:top w:val="nil"/>
              <w:left w:val="nil"/>
              <w:bottom w:val="nil"/>
              <w:right w:val="nil"/>
            </w:tcBorders>
            <w:shd w:val="clear" w:color="auto" w:fill="auto"/>
            <w:noWrap/>
            <w:vAlign w:val="bottom"/>
            <w:hideMark/>
          </w:tcPr>
          <w:p w14:paraId="4F439C41" w14:textId="390EBC44"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lastRenderedPageBreak/>
              <w:t>Missing Oversubscription Price</w:t>
            </w:r>
          </w:p>
        </w:tc>
        <w:tc>
          <w:tcPr>
            <w:tcW w:w="2500" w:type="dxa"/>
            <w:tcBorders>
              <w:top w:val="nil"/>
              <w:left w:val="nil"/>
              <w:bottom w:val="nil"/>
              <w:right w:val="nil"/>
            </w:tcBorders>
            <w:shd w:val="clear" w:color="auto" w:fill="auto"/>
            <w:noWrap/>
            <w:vAlign w:val="bottom"/>
            <w:hideMark/>
          </w:tcPr>
          <w:p w14:paraId="6FCE3C8E"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OVPR</w:t>
            </w:r>
          </w:p>
        </w:tc>
      </w:tr>
      <w:tr w:rsidR="001C333B" w:rsidRPr="001C333B" w14:paraId="681C7A3C" w14:textId="77777777" w:rsidTr="001C333B">
        <w:trPr>
          <w:trHeight w:val="255"/>
        </w:trPr>
        <w:tc>
          <w:tcPr>
            <w:tcW w:w="5480" w:type="dxa"/>
            <w:tcBorders>
              <w:top w:val="nil"/>
              <w:left w:val="nil"/>
              <w:bottom w:val="nil"/>
              <w:right w:val="nil"/>
            </w:tcBorders>
            <w:shd w:val="clear" w:color="auto" w:fill="auto"/>
            <w:noWrap/>
            <w:vAlign w:val="bottom"/>
            <w:hideMark/>
          </w:tcPr>
          <w:p w14:paraId="5CD21929" w14:textId="022F3C2D"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Oversubscription Charge Flag</w:t>
            </w:r>
          </w:p>
        </w:tc>
        <w:tc>
          <w:tcPr>
            <w:tcW w:w="2500" w:type="dxa"/>
            <w:tcBorders>
              <w:top w:val="nil"/>
              <w:left w:val="nil"/>
              <w:bottom w:val="nil"/>
              <w:right w:val="nil"/>
            </w:tcBorders>
            <w:shd w:val="clear" w:color="auto" w:fill="auto"/>
            <w:noWrap/>
            <w:vAlign w:val="bottom"/>
            <w:hideMark/>
          </w:tcPr>
          <w:p w14:paraId="031C19F5"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OVCH</w:t>
            </w:r>
          </w:p>
        </w:tc>
      </w:tr>
      <w:tr w:rsidR="001C333B" w:rsidRPr="001C333B" w14:paraId="15495B1C" w14:textId="77777777" w:rsidTr="001C333B">
        <w:trPr>
          <w:trHeight w:val="255"/>
        </w:trPr>
        <w:tc>
          <w:tcPr>
            <w:tcW w:w="5480" w:type="dxa"/>
            <w:tcBorders>
              <w:top w:val="nil"/>
              <w:left w:val="nil"/>
              <w:bottom w:val="nil"/>
              <w:right w:val="nil"/>
            </w:tcBorders>
            <w:shd w:val="clear" w:color="auto" w:fill="auto"/>
            <w:noWrap/>
            <w:vAlign w:val="bottom"/>
            <w:hideMark/>
          </w:tcPr>
          <w:p w14:paraId="278A2C6A"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Oversubscription Flag</w:t>
            </w:r>
          </w:p>
        </w:tc>
        <w:tc>
          <w:tcPr>
            <w:tcW w:w="2500" w:type="dxa"/>
            <w:tcBorders>
              <w:top w:val="nil"/>
              <w:left w:val="nil"/>
              <w:bottom w:val="nil"/>
              <w:right w:val="nil"/>
            </w:tcBorders>
            <w:shd w:val="clear" w:color="auto" w:fill="auto"/>
            <w:noWrap/>
            <w:vAlign w:val="bottom"/>
            <w:hideMark/>
          </w:tcPr>
          <w:p w14:paraId="7AD6961A"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OVFL</w:t>
            </w:r>
          </w:p>
        </w:tc>
      </w:tr>
      <w:tr w:rsidR="001C333B" w:rsidRPr="001C333B" w14:paraId="7692909D" w14:textId="77777777" w:rsidTr="001C333B">
        <w:trPr>
          <w:trHeight w:val="255"/>
        </w:trPr>
        <w:tc>
          <w:tcPr>
            <w:tcW w:w="5480" w:type="dxa"/>
            <w:tcBorders>
              <w:top w:val="nil"/>
              <w:left w:val="nil"/>
              <w:bottom w:val="nil"/>
              <w:right w:val="nil"/>
            </w:tcBorders>
            <w:shd w:val="clear" w:color="auto" w:fill="auto"/>
            <w:noWrap/>
            <w:vAlign w:val="bottom"/>
            <w:hideMark/>
          </w:tcPr>
          <w:p w14:paraId="3A38F7CC" w14:textId="6105BA59"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Rights Tra</w:t>
            </w:r>
            <w:r>
              <w:rPr>
                <w:rFonts w:ascii="Arial" w:eastAsia="Times New Roman" w:hAnsi="Arial" w:cs="Arial"/>
                <w:color w:val="000000"/>
                <w:sz w:val="20"/>
              </w:rPr>
              <w:t>n</w:t>
            </w:r>
            <w:r w:rsidRPr="001C333B">
              <w:rPr>
                <w:rFonts w:ascii="Arial" w:eastAsia="Times New Roman" w:hAnsi="Arial" w:cs="Arial"/>
                <w:color w:val="000000"/>
                <w:sz w:val="20"/>
              </w:rPr>
              <w:t>sferrable Flag</w:t>
            </w:r>
          </w:p>
        </w:tc>
        <w:tc>
          <w:tcPr>
            <w:tcW w:w="2500" w:type="dxa"/>
            <w:tcBorders>
              <w:top w:val="nil"/>
              <w:left w:val="nil"/>
              <w:bottom w:val="nil"/>
              <w:right w:val="nil"/>
            </w:tcBorders>
            <w:shd w:val="clear" w:color="auto" w:fill="auto"/>
            <w:noWrap/>
            <w:vAlign w:val="bottom"/>
            <w:hideMark/>
          </w:tcPr>
          <w:p w14:paraId="3687108C"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RITR</w:t>
            </w:r>
          </w:p>
        </w:tc>
      </w:tr>
      <w:tr w:rsidR="001C333B" w:rsidRPr="001C333B" w14:paraId="67611492" w14:textId="77777777" w:rsidTr="001C333B">
        <w:trPr>
          <w:trHeight w:val="255"/>
        </w:trPr>
        <w:tc>
          <w:tcPr>
            <w:tcW w:w="5480" w:type="dxa"/>
            <w:tcBorders>
              <w:top w:val="nil"/>
              <w:left w:val="nil"/>
              <w:bottom w:val="nil"/>
              <w:right w:val="nil"/>
            </w:tcBorders>
            <w:shd w:val="clear" w:color="auto" w:fill="auto"/>
            <w:noWrap/>
            <w:vAlign w:val="bottom"/>
            <w:hideMark/>
          </w:tcPr>
          <w:p w14:paraId="6FC2DB5B"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Solicitation Dealer Fee Flag</w:t>
            </w:r>
          </w:p>
        </w:tc>
        <w:tc>
          <w:tcPr>
            <w:tcW w:w="2500" w:type="dxa"/>
            <w:tcBorders>
              <w:top w:val="nil"/>
              <w:left w:val="nil"/>
              <w:bottom w:val="nil"/>
              <w:right w:val="nil"/>
            </w:tcBorders>
            <w:shd w:val="clear" w:color="auto" w:fill="auto"/>
            <w:noWrap/>
            <w:vAlign w:val="bottom"/>
            <w:hideMark/>
          </w:tcPr>
          <w:p w14:paraId="216629DF"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SFEE</w:t>
            </w:r>
          </w:p>
        </w:tc>
      </w:tr>
      <w:tr w:rsidR="001C333B" w:rsidRPr="001C333B" w14:paraId="51CA6346" w14:textId="77777777" w:rsidTr="001C333B">
        <w:trPr>
          <w:trHeight w:val="255"/>
        </w:trPr>
        <w:tc>
          <w:tcPr>
            <w:tcW w:w="5480" w:type="dxa"/>
            <w:tcBorders>
              <w:top w:val="nil"/>
              <w:left w:val="nil"/>
              <w:bottom w:val="nil"/>
              <w:right w:val="nil"/>
            </w:tcBorders>
            <w:shd w:val="clear" w:color="auto" w:fill="auto"/>
            <w:noWrap/>
            <w:vAlign w:val="bottom"/>
            <w:hideMark/>
          </w:tcPr>
          <w:p w14:paraId="125F0699"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Back End Odd Lot Quantity</w:t>
            </w:r>
          </w:p>
        </w:tc>
        <w:tc>
          <w:tcPr>
            <w:tcW w:w="2500" w:type="dxa"/>
            <w:tcBorders>
              <w:top w:val="nil"/>
              <w:left w:val="nil"/>
              <w:bottom w:val="nil"/>
              <w:right w:val="nil"/>
            </w:tcBorders>
            <w:shd w:val="clear" w:color="auto" w:fill="auto"/>
            <w:noWrap/>
            <w:vAlign w:val="bottom"/>
            <w:hideMark/>
          </w:tcPr>
          <w:p w14:paraId="628CE216"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BACK</w:t>
            </w:r>
          </w:p>
        </w:tc>
      </w:tr>
      <w:tr w:rsidR="001C333B" w:rsidRPr="001C333B" w14:paraId="218E12AC" w14:textId="77777777" w:rsidTr="001C333B">
        <w:trPr>
          <w:trHeight w:val="255"/>
        </w:trPr>
        <w:tc>
          <w:tcPr>
            <w:tcW w:w="5480" w:type="dxa"/>
            <w:tcBorders>
              <w:top w:val="nil"/>
              <w:left w:val="nil"/>
              <w:bottom w:val="nil"/>
              <w:right w:val="nil"/>
            </w:tcBorders>
            <w:shd w:val="clear" w:color="auto" w:fill="auto"/>
            <w:noWrap/>
            <w:vAlign w:val="bottom"/>
            <w:hideMark/>
          </w:tcPr>
          <w:p w14:paraId="5C4F42E1"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Conditional Tenders Accepted Flag</w:t>
            </w:r>
          </w:p>
        </w:tc>
        <w:tc>
          <w:tcPr>
            <w:tcW w:w="2500" w:type="dxa"/>
            <w:tcBorders>
              <w:top w:val="nil"/>
              <w:left w:val="nil"/>
              <w:bottom w:val="nil"/>
              <w:right w:val="nil"/>
            </w:tcBorders>
            <w:shd w:val="clear" w:color="auto" w:fill="auto"/>
            <w:noWrap/>
            <w:vAlign w:val="bottom"/>
            <w:hideMark/>
          </w:tcPr>
          <w:p w14:paraId="67C59265"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COND</w:t>
            </w:r>
          </w:p>
        </w:tc>
      </w:tr>
      <w:tr w:rsidR="001C333B" w:rsidRPr="001C333B" w14:paraId="4B705D1B" w14:textId="77777777" w:rsidTr="001C333B">
        <w:trPr>
          <w:trHeight w:val="255"/>
        </w:trPr>
        <w:tc>
          <w:tcPr>
            <w:tcW w:w="5480" w:type="dxa"/>
            <w:tcBorders>
              <w:top w:val="nil"/>
              <w:left w:val="nil"/>
              <w:bottom w:val="nil"/>
              <w:right w:val="nil"/>
            </w:tcBorders>
            <w:shd w:val="clear" w:color="auto" w:fill="auto"/>
            <w:noWrap/>
            <w:vAlign w:val="bottom"/>
            <w:hideMark/>
          </w:tcPr>
          <w:p w14:paraId="626F0C20"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Full Conditional Flag</w:t>
            </w:r>
          </w:p>
        </w:tc>
        <w:tc>
          <w:tcPr>
            <w:tcW w:w="2500" w:type="dxa"/>
            <w:tcBorders>
              <w:top w:val="nil"/>
              <w:left w:val="nil"/>
              <w:bottom w:val="nil"/>
              <w:right w:val="nil"/>
            </w:tcBorders>
            <w:shd w:val="clear" w:color="auto" w:fill="auto"/>
            <w:noWrap/>
            <w:vAlign w:val="bottom"/>
            <w:hideMark/>
          </w:tcPr>
          <w:p w14:paraId="593117F1"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FULL</w:t>
            </w:r>
          </w:p>
        </w:tc>
      </w:tr>
      <w:tr w:rsidR="001C333B" w:rsidRPr="001C333B" w14:paraId="7FC9C48C" w14:textId="77777777" w:rsidTr="001C333B">
        <w:trPr>
          <w:trHeight w:val="255"/>
        </w:trPr>
        <w:tc>
          <w:tcPr>
            <w:tcW w:w="5480" w:type="dxa"/>
            <w:tcBorders>
              <w:top w:val="nil"/>
              <w:left w:val="nil"/>
              <w:bottom w:val="nil"/>
              <w:right w:val="nil"/>
            </w:tcBorders>
            <w:shd w:val="clear" w:color="auto" w:fill="auto"/>
            <w:noWrap/>
            <w:vAlign w:val="bottom"/>
            <w:hideMark/>
          </w:tcPr>
          <w:p w14:paraId="30B0A582"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Odd Lot Priority Flag</w:t>
            </w:r>
          </w:p>
        </w:tc>
        <w:tc>
          <w:tcPr>
            <w:tcW w:w="2500" w:type="dxa"/>
            <w:tcBorders>
              <w:top w:val="nil"/>
              <w:left w:val="nil"/>
              <w:bottom w:val="nil"/>
              <w:right w:val="nil"/>
            </w:tcBorders>
            <w:shd w:val="clear" w:color="auto" w:fill="auto"/>
            <w:noWrap/>
            <w:vAlign w:val="bottom"/>
            <w:hideMark/>
          </w:tcPr>
          <w:p w14:paraId="03CA37C2"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ODLT</w:t>
            </w:r>
          </w:p>
        </w:tc>
      </w:tr>
      <w:tr w:rsidR="001C333B" w:rsidRPr="001C333B" w14:paraId="0B4D69EB" w14:textId="77777777" w:rsidTr="001C333B">
        <w:trPr>
          <w:trHeight w:val="255"/>
        </w:trPr>
        <w:tc>
          <w:tcPr>
            <w:tcW w:w="5480" w:type="dxa"/>
            <w:tcBorders>
              <w:top w:val="nil"/>
              <w:left w:val="nil"/>
              <w:bottom w:val="nil"/>
              <w:right w:val="nil"/>
            </w:tcBorders>
            <w:shd w:val="clear" w:color="auto" w:fill="auto"/>
            <w:noWrap/>
            <w:vAlign w:val="bottom"/>
            <w:hideMark/>
          </w:tcPr>
          <w:p w14:paraId="7A861C1A"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Proration Rounding Indicator</w:t>
            </w:r>
          </w:p>
        </w:tc>
        <w:tc>
          <w:tcPr>
            <w:tcW w:w="2500" w:type="dxa"/>
            <w:tcBorders>
              <w:top w:val="nil"/>
              <w:left w:val="nil"/>
              <w:bottom w:val="nil"/>
              <w:right w:val="nil"/>
            </w:tcBorders>
            <w:shd w:val="clear" w:color="auto" w:fill="auto"/>
            <w:noWrap/>
            <w:vAlign w:val="bottom"/>
            <w:hideMark/>
          </w:tcPr>
          <w:p w14:paraId="05F10B5C"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PROR</w:t>
            </w:r>
          </w:p>
        </w:tc>
      </w:tr>
      <w:tr w:rsidR="001C333B" w:rsidRPr="001C333B" w14:paraId="6683266D" w14:textId="77777777" w:rsidTr="001C333B">
        <w:trPr>
          <w:trHeight w:val="255"/>
        </w:trPr>
        <w:tc>
          <w:tcPr>
            <w:tcW w:w="5480" w:type="dxa"/>
            <w:tcBorders>
              <w:top w:val="nil"/>
              <w:left w:val="nil"/>
              <w:bottom w:val="nil"/>
              <w:right w:val="nil"/>
            </w:tcBorders>
            <w:shd w:val="clear" w:color="auto" w:fill="auto"/>
            <w:noWrap/>
            <w:vAlign w:val="bottom"/>
            <w:hideMark/>
          </w:tcPr>
          <w:p w14:paraId="33E51744"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Protect Charge Indicator</w:t>
            </w:r>
          </w:p>
        </w:tc>
        <w:tc>
          <w:tcPr>
            <w:tcW w:w="2500" w:type="dxa"/>
            <w:tcBorders>
              <w:top w:val="nil"/>
              <w:left w:val="nil"/>
              <w:bottom w:val="nil"/>
              <w:right w:val="nil"/>
            </w:tcBorders>
            <w:shd w:val="clear" w:color="auto" w:fill="auto"/>
            <w:noWrap/>
            <w:vAlign w:val="bottom"/>
            <w:hideMark/>
          </w:tcPr>
          <w:p w14:paraId="76BA5CB3"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PRCH</w:t>
            </w:r>
          </w:p>
        </w:tc>
      </w:tr>
      <w:tr w:rsidR="001C333B" w:rsidRPr="001C333B" w14:paraId="7E18DCA2" w14:textId="77777777" w:rsidTr="001C333B">
        <w:trPr>
          <w:trHeight w:val="255"/>
        </w:trPr>
        <w:tc>
          <w:tcPr>
            <w:tcW w:w="5480" w:type="dxa"/>
            <w:tcBorders>
              <w:top w:val="nil"/>
              <w:left w:val="nil"/>
              <w:bottom w:val="nil"/>
              <w:right w:val="nil"/>
            </w:tcBorders>
            <w:shd w:val="clear" w:color="auto" w:fill="auto"/>
            <w:noWrap/>
            <w:vAlign w:val="bottom"/>
            <w:hideMark/>
          </w:tcPr>
          <w:p w14:paraId="506616E9"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 xml:space="preserve">Missing Subscription Price </w:t>
            </w:r>
          </w:p>
        </w:tc>
        <w:tc>
          <w:tcPr>
            <w:tcW w:w="2500" w:type="dxa"/>
            <w:tcBorders>
              <w:top w:val="nil"/>
              <w:left w:val="nil"/>
              <w:bottom w:val="nil"/>
              <w:right w:val="nil"/>
            </w:tcBorders>
            <w:shd w:val="clear" w:color="auto" w:fill="auto"/>
            <w:noWrap/>
            <w:vAlign w:val="bottom"/>
            <w:hideMark/>
          </w:tcPr>
          <w:p w14:paraId="7789D763"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SUPR</w:t>
            </w:r>
          </w:p>
        </w:tc>
      </w:tr>
      <w:tr w:rsidR="001C333B" w:rsidRPr="001C333B" w14:paraId="7A1FFBA4" w14:textId="77777777" w:rsidTr="001C333B">
        <w:trPr>
          <w:trHeight w:val="255"/>
        </w:trPr>
        <w:tc>
          <w:tcPr>
            <w:tcW w:w="5480" w:type="dxa"/>
            <w:tcBorders>
              <w:top w:val="nil"/>
              <w:left w:val="nil"/>
              <w:bottom w:val="nil"/>
              <w:right w:val="nil"/>
            </w:tcBorders>
            <w:shd w:val="clear" w:color="auto" w:fill="auto"/>
            <w:noWrap/>
            <w:vAlign w:val="bottom"/>
            <w:hideMark/>
          </w:tcPr>
          <w:p w14:paraId="1AD533CE"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Subscription Charge Flag</w:t>
            </w:r>
          </w:p>
        </w:tc>
        <w:tc>
          <w:tcPr>
            <w:tcW w:w="2500" w:type="dxa"/>
            <w:tcBorders>
              <w:top w:val="nil"/>
              <w:left w:val="nil"/>
              <w:bottom w:val="nil"/>
              <w:right w:val="nil"/>
            </w:tcBorders>
            <w:shd w:val="clear" w:color="auto" w:fill="auto"/>
            <w:noWrap/>
            <w:vAlign w:val="bottom"/>
            <w:hideMark/>
          </w:tcPr>
          <w:p w14:paraId="0031308B"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SUCH</w:t>
            </w:r>
          </w:p>
        </w:tc>
      </w:tr>
      <w:tr w:rsidR="001C333B" w:rsidRPr="001C333B" w14:paraId="6488BC70" w14:textId="77777777" w:rsidTr="001C333B">
        <w:trPr>
          <w:trHeight w:val="255"/>
        </w:trPr>
        <w:tc>
          <w:tcPr>
            <w:tcW w:w="5480" w:type="dxa"/>
            <w:tcBorders>
              <w:top w:val="nil"/>
              <w:left w:val="nil"/>
              <w:bottom w:val="nil"/>
              <w:right w:val="nil"/>
            </w:tcBorders>
            <w:shd w:val="clear" w:color="auto" w:fill="auto"/>
            <w:noWrap/>
            <w:vAlign w:val="bottom"/>
            <w:hideMark/>
          </w:tcPr>
          <w:p w14:paraId="3805B6CB"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 xml:space="preserve">Missing Unspecified Price Allowed </w:t>
            </w:r>
          </w:p>
        </w:tc>
        <w:tc>
          <w:tcPr>
            <w:tcW w:w="2500" w:type="dxa"/>
            <w:tcBorders>
              <w:top w:val="nil"/>
              <w:left w:val="nil"/>
              <w:bottom w:val="nil"/>
              <w:right w:val="nil"/>
            </w:tcBorders>
            <w:shd w:val="clear" w:color="auto" w:fill="auto"/>
            <w:noWrap/>
            <w:vAlign w:val="bottom"/>
            <w:hideMark/>
          </w:tcPr>
          <w:p w14:paraId="4E42677B"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UNSP</w:t>
            </w:r>
          </w:p>
        </w:tc>
      </w:tr>
      <w:tr w:rsidR="001C333B" w:rsidRPr="001C333B" w14:paraId="6104B558" w14:textId="77777777" w:rsidTr="001C333B">
        <w:trPr>
          <w:trHeight w:val="255"/>
        </w:trPr>
        <w:tc>
          <w:tcPr>
            <w:tcW w:w="5480" w:type="dxa"/>
            <w:tcBorders>
              <w:top w:val="nil"/>
              <w:left w:val="nil"/>
              <w:bottom w:val="nil"/>
              <w:right w:val="nil"/>
            </w:tcBorders>
            <w:shd w:val="clear" w:color="auto" w:fill="auto"/>
            <w:noWrap/>
            <w:vAlign w:val="bottom"/>
            <w:hideMark/>
          </w:tcPr>
          <w:p w14:paraId="6CB1FDF6"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Cash Rate</w:t>
            </w:r>
          </w:p>
        </w:tc>
        <w:tc>
          <w:tcPr>
            <w:tcW w:w="2500" w:type="dxa"/>
            <w:tcBorders>
              <w:top w:val="nil"/>
              <w:left w:val="nil"/>
              <w:bottom w:val="nil"/>
              <w:right w:val="nil"/>
            </w:tcBorders>
            <w:shd w:val="clear" w:color="auto" w:fill="auto"/>
            <w:noWrap/>
            <w:vAlign w:val="bottom"/>
            <w:hideMark/>
          </w:tcPr>
          <w:p w14:paraId="0368A814"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CSRT</w:t>
            </w:r>
          </w:p>
        </w:tc>
      </w:tr>
      <w:tr w:rsidR="001C333B" w:rsidRPr="001C333B" w14:paraId="524CC2B6" w14:textId="77777777" w:rsidTr="001C333B">
        <w:trPr>
          <w:trHeight w:val="255"/>
        </w:trPr>
        <w:tc>
          <w:tcPr>
            <w:tcW w:w="5480" w:type="dxa"/>
            <w:tcBorders>
              <w:top w:val="nil"/>
              <w:left w:val="nil"/>
              <w:bottom w:val="nil"/>
              <w:right w:val="nil"/>
            </w:tcBorders>
            <w:shd w:val="clear" w:color="auto" w:fill="auto"/>
            <w:noWrap/>
            <w:vAlign w:val="bottom"/>
            <w:hideMark/>
          </w:tcPr>
          <w:p w14:paraId="0CADE603"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Securities Rate</w:t>
            </w:r>
          </w:p>
        </w:tc>
        <w:tc>
          <w:tcPr>
            <w:tcW w:w="2500" w:type="dxa"/>
            <w:tcBorders>
              <w:top w:val="nil"/>
              <w:left w:val="nil"/>
              <w:bottom w:val="nil"/>
              <w:right w:val="nil"/>
            </w:tcBorders>
            <w:shd w:val="clear" w:color="auto" w:fill="auto"/>
            <w:noWrap/>
            <w:vAlign w:val="bottom"/>
            <w:hideMark/>
          </w:tcPr>
          <w:p w14:paraId="065DA9EE"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SERT</w:t>
            </w:r>
          </w:p>
        </w:tc>
      </w:tr>
      <w:tr w:rsidR="001C333B" w:rsidRPr="001C333B" w14:paraId="4BE399AE" w14:textId="77777777" w:rsidTr="001C333B">
        <w:trPr>
          <w:trHeight w:val="255"/>
        </w:trPr>
        <w:tc>
          <w:tcPr>
            <w:tcW w:w="5480" w:type="dxa"/>
            <w:tcBorders>
              <w:top w:val="nil"/>
              <w:left w:val="nil"/>
              <w:bottom w:val="nil"/>
              <w:right w:val="nil"/>
            </w:tcBorders>
            <w:shd w:val="clear" w:color="auto" w:fill="auto"/>
            <w:noWrap/>
            <w:vAlign w:val="bottom"/>
            <w:hideMark/>
          </w:tcPr>
          <w:p w14:paraId="65D6A33F"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Payout Type</w:t>
            </w:r>
          </w:p>
        </w:tc>
        <w:tc>
          <w:tcPr>
            <w:tcW w:w="2500" w:type="dxa"/>
            <w:tcBorders>
              <w:top w:val="nil"/>
              <w:left w:val="nil"/>
              <w:bottom w:val="nil"/>
              <w:right w:val="nil"/>
            </w:tcBorders>
            <w:shd w:val="clear" w:color="auto" w:fill="auto"/>
            <w:noWrap/>
            <w:vAlign w:val="bottom"/>
            <w:hideMark/>
          </w:tcPr>
          <w:p w14:paraId="76418DA3"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PTYP</w:t>
            </w:r>
          </w:p>
        </w:tc>
      </w:tr>
      <w:tr w:rsidR="001C333B" w:rsidRPr="001C333B" w14:paraId="176D3B1D" w14:textId="77777777" w:rsidTr="001C333B">
        <w:trPr>
          <w:trHeight w:val="255"/>
        </w:trPr>
        <w:tc>
          <w:tcPr>
            <w:tcW w:w="5480" w:type="dxa"/>
            <w:tcBorders>
              <w:top w:val="nil"/>
              <w:left w:val="nil"/>
              <w:bottom w:val="nil"/>
              <w:right w:val="nil"/>
            </w:tcBorders>
            <w:shd w:val="clear" w:color="auto" w:fill="auto"/>
            <w:noWrap/>
            <w:vAlign w:val="bottom"/>
            <w:hideMark/>
          </w:tcPr>
          <w:p w14:paraId="758B7E9A"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Cash in Lieu Price</w:t>
            </w:r>
          </w:p>
        </w:tc>
        <w:tc>
          <w:tcPr>
            <w:tcW w:w="2500" w:type="dxa"/>
            <w:tcBorders>
              <w:top w:val="nil"/>
              <w:left w:val="nil"/>
              <w:bottom w:val="nil"/>
              <w:right w:val="nil"/>
            </w:tcBorders>
            <w:shd w:val="clear" w:color="auto" w:fill="auto"/>
            <w:noWrap/>
            <w:vAlign w:val="bottom"/>
            <w:hideMark/>
          </w:tcPr>
          <w:p w14:paraId="0384C459"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CINL</w:t>
            </w:r>
          </w:p>
        </w:tc>
      </w:tr>
      <w:tr w:rsidR="001C333B" w:rsidRPr="001C333B" w14:paraId="527AE158" w14:textId="77777777" w:rsidTr="001C333B">
        <w:trPr>
          <w:trHeight w:val="255"/>
        </w:trPr>
        <w:tc>
          <w:tcPr>
            <w:tcW w:w="5480" w:type="dxa"/>
            <w:tcBorders>
              <w:top w:val="nil"/>
              <w:left w:val="nil"/>
              <w:bottom w:val="nil"/>
              <w:right w:val="nil"/>
            </w:tcBorders>
            <w:shd w:val="clear" w:color="auto" w:fill="auto"/>
            <w:noWrap/>
            <w:vAlign w:val="bottom"/>
            <w:hideMark/>
          </w:tcPr>
          <w:p w14:paraId="54818487"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Disbursed Security ID</w:t>
            </w:r>
          </w:p>
        </w:tc>
        <w:tc>
          <w:tcPr>
            <w:tcW w:w="2500" w:type="dxa"/>
            <w:tcBorders>
              <w:top w:val="nil"/>
              <w:left w:val="nil"/>
              <w:bottom w:val="nil"/>
              <w:right w:val="nil"/>
            </w:tcBorders>
            <w:shd w:val="clear" w:color="auto" w:fill="auto"/>
            <w:noWrap/>
            <w:vAlign w:val="bottom"/>
            <w:hideMark/>
          </w:tcPr>
          <w:p w14:paraId="07C60357"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MDIS</w:t>
            </w:r>
          </w:p>
        </w:tc>
      </w:tr>
      <w:tr w:rsidR="001C333B" w:rsidRPr="001C333B" w14:paraId="79563BE6" w14:textId="77777777" w:rsidTr="001C333B">
        <w:trPr>
          <w:trHeight w:val="255"/>
        </w:trPr>
        <w:tc>
          <w:tcPr>
            <w:tcW w:w="5480" w:type="dxa"/>
            <w:tcBorders>
              <w:top w:val="nil"/>
              <w:left w:val="nil"/>
              <w:bottom w:val="nil"/>
              <w:right w:val="nil"/>
            </w:tcBorders>
            <w:shd w:val="clear" w:color="auto" w:fill="auto"/>
            <w:noWrap/>
            <w:vAlign w:val="bottom"/>
            <w:hideMark/>
          </w:tcPr>
          <w:p w14:paraId="4F23C469"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Invalid Disbursed Security ID</w:t>
            </w:r>
          </w:p>
        </w:tc>
        <w:tc>
          <w:tcPr>
            <w:tcW w:w="2500" w:type="dxa"/>
            <w:tcBorders>
              <w:top w:val="nil"/>
              <w:left w:val="nil"/>
              <w:bottom w:val="nil"/>
              <w:right w:val="nil"/>
            </w:tcBorders>
            <w:shd w:val="clear" w:color="auto" w:fill="auto"/>
            <w:noWrap/>
            <w:vAlign w:val="bottom"/>
            <w:hideMark/>
          </w:tcPr>
          <w:p w14:paraId="2A32C903"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IDIS</w:t>
            </w:r>
          </w:p>
        </w:tc>
      </w:tr>
      <w:tr w:rsidR="001C333B" w:rsidRPr="001C333B" w14:paraId="0A64A9B7" w14:textId="77777777" w:rsidTr="001C333B">
        <w:trPr>
          <w:trHeight w:val="255"/>
        </w:trPr>
        <w:tc>
          <w:tcPr>
            <w:tcW w:w="5480" w:type="dxa"/>
            <w:tcBorders>
              <w:top w:val="nil"/>
              <w:left w:val="nil"/>
              <w:bottom w:val="nil"/>
              <w:right w:val="nil"/>
            </w:tcBorders>
            <w:shd w:val="clear" w:color="auto" w:fill="auto"/>
            <w:noWrap/>
            <w:vAlign w:val="bottom"/>
            <w:hideMark/>
          </w:tcPr>
          <w:p w14:paraId="7C44CF27"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Fractional Disposition</w:t>
            </w:r>
          </w:p>
        </w:tc>
        <w:tc>
          <w:tcPr>
            <w:tcW w:w="2500" w:type="dxa"/>
            <w:tcBorders>
              <w:top w:val="nil"/>
              <w:left w:val="nil"/>
              <w:bottom w:val="nil"/>
              <w:right w:val="nil"/>
            </w:tcBorders>
            <w:shd w:val="clear" w:color="auto" w:fill="auto"/>
            <w:noWrap/>
            <w:vAlign w:val="bottom"/>
            <w:hideMark/>
          </w:tcPr>
          <w:p w14:paraId="76CBFAE2"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FRAC</w:t>
            </w:r>
          </w:p>
        </w:tc>
      </w:tr>
      <w:tr w:rsidR="001C333B" w:rsidRPr="001C333B" w14:paraId="7836752B" w14:textId="77777777" w:rsidTr="001C333B">
        <w:trPr>
          <w:trHeight w:val="255"/>
        </w:trPr>
        <w:tc>
          <w:tcPr>
            <w:tcW w:w="5480" w:type="dxa"/>
            <w:tcBorders>
              <w:top w:val="nil"/>
              <w:left w:val="nil"/>
              <w:bottom w:val="nil"/>
              <w:right w:val="nil"/>
            </w:tcBorders>
            <w:shd w:val="clear" w:color="auto" w:fill="auto"/>
            <w:noWrap/>
            <w:vAlign w:val="bottom"/>
            <w:hideMark/>
          </w:tcPr>
          <w:p w14:paraId="52CF7D76"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 xml:space="preserve">Missing Price Basis </w:t>
            </w:r>
          </w:p>
        </w:tc>
        <w:tc>
          <w:tcPr>
            <w:tcW w:w="2500" w:type="dxa"/>
            <w:tcBorders>
              <w:top w:val="nil"/>
              <w:left w:val="nil"/>
              <w:bottom w:val="nil"/>
              <w:right w:val="nil"/>
            </w:tcBorders>
            <w:shd w:val="clear" w:color="auto" w:fill="auto"/>
            <w:noWrap/>
            <w:vAlign w:val="bottom"/>
            <w:hideMark/>
          </w:tcPr>
          <w:p w14:paraId="7D0D099B"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PBAS</w:t>
            </w:r>
          </w:p>
        </w:tc>
      </w:tr>
      <w:tr w:rsidR="001C333B" w:rsidRPr="001C333B" w14:paraId="26FB1EF1" w14:textId="77777777" w:rsidTr="001C333B">
        <w:trPr>
          <w:trHeight w:val="255"/>
        </w:trPr>
        <w:tc>
          <w:tcPr>
            <w:tcW w:w="5480" w:type="dxa"/>
            <w:tcBorders>
              <w:top w:val="nil"/>
              <w:left w:val="nil"/>
              <w:bottom w:val="nil"/>
              <w:right w:val="nil"/>
            </w:tcBorders>
            <w:shd w:val="clear" w:color="auto" w:fill="auto"/>
            <w:noWrap/>
            <w:vAlign w:val="bottom"/>
            <w:hideMark/>
          </w:tcPr>
          <w:p w14:paraId="5C39E82F"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Missing Rounding Factor</w:t>
            </w:r>
          </w:p>
        </w:tc>
        <w:tc>
          <w:tcPr>
            <w:tcW w:w="2500" w:type="dxa"/>
            <w:tcBorders>
              <w:top w:val="nil"/>
              <w:left w:val="nil"/>
              <w:bottom w:val="nil"/>
              <w:right w:val="nil"/>
            </w:tcBorders>
            <w:shd w:val="clear" w:color="auto" w:fill="auto"/>
            <w:noWrap/>
            <w:vAlign w:val="bottom"/>
            <w:hideMark/>
          </w:tcPr>
          <w:p w14:paraId="348D2CC4"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ROUN</w:t>
            </w:r>
          </w:p>
        </w:tc>
      </w:tr>
      <w:tr w:rsidR="001C333B" w:rsidRPr="001C333B" w14:paraId="49A67100" w14:textId="77777777" w:rsidTr="001C333B">
        <w:trPr>
          <w:trHeight w:val="255"/>
        </w:trPr>
        <w:tc>
          <w:tcPr>
            <w:tcW w:w="5480" w:type="dxa"/>
            <w:tcBorders>
              <w:top w:val="nil"/>
              <w:left w:val="nil"/>
              <w:bottom w:val="nil"/>
              <w:right w:val="nil"/>
            </w:tcBorders>
            <w:shd w:val="clear" w:color="auto" w:fill="auto"/>
            <w:noWrap/>
            <w:vAlign w:val="bottom"/>
            <w:hideMark/>
          </w:tcPr>
          <w:p w14:paraId="0ADEBED3"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 xml:space="preserve">Missing Issuer Agent </w:t>
            </w:r>
          </w:p>
        </w:tc>
        <w:tc>
          <w:tcPr>
            <w:tcW w:w="2500" w:type="dxa"/>
            <w:tcBorders>
              <w:top w:val="nil"/>
              <w:left w:val="nil"/>
              <w:bottom w:val="nil"/>
              <w:right w:val="nil"/>
            </w:tcBorders>
            <w:shd w:val="clear" w:color="auto" w:fill="auto"/>
            <w:noWrap/>
            <w:vAlign w:val="bottom"/>
            <w:hideMark/>
          </w:tcPr>
          <w:p w14:paraId="1E4B4BC4"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ISSR</w:t>
            </w:r>
          </w:p>
        </w:tc>
      </w:tr>
      <w:tr w:rsidR="001C333B" w:rsidRPr="001C333B" w14:paraId="1341B8C2" w14:textId="77777777" w:rsidTr="001C333B">
        <w:trPr>
          <w:trHeight w:val="255"/>
        </w:trPr>
        <w:tc>
          <w:tcPr>
            <w:tcW w:w="5480" w:type="dxa"/>
            <w:tcBorders>
              <w:top w:val="nil"/>
              <w:left w:val="nil"/>
              <w:bottom w:val="nil"/>
              <w:right w:val="nil"/>
            </w:tcBorders>
            <w:shd w:val="clear" w:color="auto" w:fill="auto"/>
            <w:noWrap/>
            <w:vAlign w:val="bottom"/>
            <w:hideMark/>
          </w:tcPr>
          <w:p w14:paraId="1149DBD4"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Invalid or Missing Issuer Agent Contact Information</w:t>
            </w:r>
          </w:p>
        </w:tc>
        <w:tc>
          <w:tcPr>
            <w:tcW w:w="2500" w:type="dxa"/>
            <w:tcBorders>
              <w:top w:val="nil"/>
              <w:left w:val="nil"/>
              <w:bottom w:val="nil"/>
              <w:right w:val="nil"/>
            </w:tcBorders>
            <w:shd w:val="clear" w:color="auto" w:fill="auto"/>
            <w:noWrap/>
            <w:vAlign w:val="bottom"/>
            <w:hideMark/>
          </w:tcPr>
          <w:p w14:paraId="59830AC9" w14:textId="77777777" w:rsidR="001C333B" w:rsidRPr="001C333B" w:rsidRDefault="001C333B" w:rsidP="001C333B">
            <w:pPr>
              <w:spacing w:before="0"/>
              <w:rPr>
                <w:rFonts w:ascii="Arial" w:eastAsia="Times New Roman" w:hAnsi="Arial" w:cs="Arial"/>
                <w:color w:val="000000"/>
                <w:sz w:val="20"/>
              </w:rPr>
            </w:pPr>
            <w:r w:rsidRPr="001C333B">
              <w:rPr>
                <w:rFonts w:ascii="Arial" w:eastAsia="Times New Roman" w:hAnsi="Arial" w:cs="Arial"/>
                <w:color w:val="000000"/>
                <w:sz w:val="20"/>
              </w:rPr>
              <w:t>ISSC</w:t>
            </w:r>
          </w:p>
        </w:tc>
      </w:tr>
    </w:tbl>
    <w:p w14:paraId="7381C92C" w14:textId="77777777" w:rsidR="002E22AD" w:rsidRPr="005660C0" w:rsidRDefault="002E22AD" w:rsidP="00496AFC">
      <w:pPr>
        <w:pStyle w:val="ListParagraph"/>
        <w:ind w:left="0"/>
        <w:rPr>
          <w:szCs w:val="24"/>
          <w:lang w:val="en-GB"/>
        </w:rPr>
      </w:pPr>
    </w:p>
    <w:p w14:paraId="0C050C53" w14:textId="7127618E" w:rsidR="001052A6" w:rsidRDefault="001052A6" w:rsidP="001052A6">
      <w:pPr>
        <w:pStyle w:val="ListParagraph"/>
        <w:rPr>
          <w:szCs w:val="24"/>
          <w:u w:val="single"/>
          <w:lang w:val="en-GB"/>
        </w:rPr>
      </w:pPr>
    </w:p>
    <w:p w14:paraId="0ED67DC0" w14:textId="77777777" w:rsidR="001052A6" w:rsidRPr="004033F5" w:rsidRDefault="001052A6" w:rsidP="001052A6">
      <w:pPr>
        <w:pStyle w:val="ListParagraph"/>
        <w:rPr>
          <w:szCs w:val="24"/>
          <w:lang w:val="en-GB"/>
        </w:rPr>
      </w:pPr>
    </w:p>
    <w:p w14:paraId="25DBE6E2" w14:textId="77777777" w:rsidR="005246BE" w:rsidRDefault="00E74C04" w:rsidP="006C08D6">
      <w:pPr>
        <w:ind w:left="360"/>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6E48A0B8" w14:textId="2B35D702" w:rsidR="006A2078" w:rsidRDefault="007205B3" w:rsidP="008C2017">
      <w:pPr>
        <w:rPr>
          <w:lang w:val="en-GB"/>
        </w:rPr>
      </w:pPr>
      <w:r>
        <w:rPr>
          <w:lang w:val="en-GB"/>
        </w:rPr>
        <w:t xml:space="preserve">DTCC as part of its Agent Announcement </w:t>
      </w:r>
      <w:r w:rsidR="006065C5">
        <w:rPr>
          <w:lang w:val="en-GB"/>
        </w:rPr>
        <w:t xml:space="preserve">program is proposing the modification of the </w:t>
      </w:r>
      <w:r w:rsidR="00362D39">
        <w:rPr>
          <w:lang w:val="en-GB"/>
        </w:rPr>
        <w:t>seev.011.001.01 Agent Notifica</w:t>
      </w:r>
      <w:r w:rsidR="00F03BF4">
        <w:rPr>
          <w:lang w:val="en-GB"/>
        </w:rPr>
        <w:t>tion Status Advice Message</w:t>
      </w:r>
      <w:r w:rsidR="00F364E0">
        <w:rPr>
          <w:lang w:val="en-GB"/>
        </w:rPr>
        <w:t xml:space="preserve"> (ANSA)</w:t>
      </w:r>
      <w:r w:rsidR="00F03BF4">
        <w:rPr>
          <w:lang w:val="en-GB"/>
        </w:rPr>
        <w:t xml:space="preserve">.  </w:t>
      </w:r>
      <w:r w:rsidR="00930190">
        <w:rPr>
          <w:lang w:val="en-GB"/>
        </w:rPr>
        <w:t xml:space="preserve">DTC </w:t>
      </w:r>
      <w:r w:rsidR="00F36998">
        <w:rPr>
          <w:lang w:val="en-GB"/>
        </w:rPr>
        <w:t xml:space="preserve">is currently working with the US agent community on </w:t>
      </w:r>
      <w:r w:rsidR="003F09A8">
        <w:rPr>
          <w:lang w:val="en-GB"/>
        </w:rPr>
        <w:t xml:space="preserve">defining requirements </w:t>
      </w:r>
      <w:r w:rsidR="00DB5BE4">
        <w:rPr>
          <w:lang w:val="en-GB"/>
        </w:rPr>
        <w:t xml:space="preserve">to </w:t>
      </w:r>
      <w:r w:rsidR="007D3FC0">
        <w:rPr>
          <w:lang w:val="en-GB"/>
        </w:rPr>
        <w:t xml:space="preserve">automate the </w:t>
      </w:r>
      <w:r w:rsidR="00CC273A">
        <w:rPr>
          <w:lang w:val="en-GB"/>
        </w:rPr>
        <w:t>Voluntary</w:t>
      </w:r>
      <w:r w:rsidR="007D3FC0">
        <w:rPr>
          <w:lang w:val="en-GB"/>
        </w:rPr>
        <w:t xml:space="preserve"> Reorganization </w:t>
      </w:r>
      <w:r w:rsidR="00214098">
        <w:rPr>
          <w:lang w:val="en-GB"/>
        </w:rPr>
        <w:t xml:space="preserve">announcement process. Today, DTCC staff monitor a mailbox and </w:t>
      </w:r>
      <w:r w:rsidR="00DB5BE4">
        <w:rPr>
          <w:lang w:val="en-GB"/>
        </w:rPr>
        <w:t>E</w:t>
      </w:r>
      <w:r w:rsidR="00F530D1">
        <w:rPr>
          <w:lang w:val="en-GB"/>
        </w:rPr>
        <w:t>DGAR</w:t>
      </w:r>
      <w:r w:rsidR="006A2078">
        <w:rPr>
          <w:lang w:val="en-GB"/>
        </w:rPr>
        <w:t xml:space="preserve"> Pro </w:t>
      </w:r>
      <w:r w:rsidR="00F406A6">
        <w:rPr>
          <w:lang w:val="en-GB"/>
        </w:rPr>
        <w:t>for offering documentatio</w:t>
      </w:r>
      <w:r w:rsidR="00D7090F">
        <w:rPr>
          <w:lang w:val="en-GB"/>
        </w:rPr>
        <w:t xml:space="preserve">n which is a manual process.  </w:t>
      </w:r>
    </w:p>
    <w:p w14:paraId="5F072A0B" w14:textId="77777777" w:rsidR="00241190" w:rsidRDefault="00241190" w:rsidP="008C2017">
      <w:pPr>
        <w:rPr>
          <w:lang w:val="en-GB"/>
        </w:rPr>
      </w:pPr>
    </w:p>
    <w:p w14:paraId="53A4F823" w14:textId="46AA6251" w:rsidR="00241190" w:rsidRDefault="00241190" w:rsidP="008C2017">
      <w:pPr>
        <w:rPr>
          <w:lang w:val="en-GB"/>
        </w:rPr>
      </w:pPr>
      <w:r>
        <w:rPr>
          <w:lang w:val="en-GB"/>
        </w:rPr>
        <w:t>The new initiative wi</w:t>
      </w:r>
      <w:r w:rsidR="00092D43">
        <w:rPr>
          <w:lang w:val="en-GB"/>
        </w:rPr>
        <w:t xml:space="preserve">th US Agents will </w:t>
      </w:r>
      <w:r w:rsidR="00B6717E">
        <w:rPr>
          <w:lang w:val="en-GB"/>
        </w:rPr>
        <w:t>focus</w:t>
      </w:r>
      <w:r w:rsidR="00092D43">
        <w:rPr>
          <w:lang w:val="en-GB"/>
        </w:rPr>
        <w:t xml:space="preserve"> on two strategies:  Use of the CANO (seev.031) message </w:t>
      </w:r>
      <w:r w:rsidR="00733EAB">
        <w:rPr>
          <w:lang w:val="en-GB"/>
        </w:rPr>
        <w:t xml:space="preserve">with a potential Agent Extension and (2) an Agent Portal which will allow for manual entry.  </w:t>
      </w:r>
    </w:p>
    <w:p w14:paraId="7CCC23D8" w14:textId="299067F2" w:rsidR="00733EAB" w:rsidRDefault="00733EAB" w:rsidP="008C2017">
      <w:pPr>
        <w:rPr>
          <w:lang w:val="en-GB"/>
        </w:rPr>
      </w:pPr>
      <w:r>
        <w:rPr>
          <w:lang w:val="en-GB"/>
        </w:rPr>
        <w:t xml:space="preserve">The </w:t>
      </w:r>
      <w:r w:rsidR="004265AE">
        <w:rPr>
          <w:lang w:val="en-GB"/>
        </w:rPr>
        <w:t xml:space="preserve">working group formed will be creating templates for all US based Voluntary Reorg scenarios.  These templates will focus on data requirements from a new message (NEWM) and the golden copy (COMP).  </w:t>
      </w:r>
    </w:p>
    <w:p w14:paraId="64C74CA0" w14:textId="594B40A6" w:rsidR="00FA7EC8" w:rsidRDefault="00F364E0" w:rsidP="008C2017">
      <w:pPr>
        <w:rPr>
          <w:lang w:val="en-GB"/>
        </w:rPr>
      </w:pPr>
      <w:r>
        <w:rPr>
          <w:lang w:val="en-GB"/>
        </w:rPr>
        <w:t xml:space="preserve">The ANSA message </w:t>
      </w:r>
      <w:r w:rsidR="007C12D2">
        <w:rPr>
          <w:lang w:val="en-GB"/>
        </w:rPr>
        <w:t>will play a key role to validate the</w:t>
      </w:r>
      <w:r w:rsidR="003E7D33">
        <w:rPr>
          <w:lang w:val="en-GB"/>
        </w:rPr>
        <w:t xml:space="preserve"> CANO</w:t>
      </w:r>
      <w:r w:rsidR="007C12D2">
        <w:rPr>
          <w:lang w:val="en-GB"/>
        </w:rPr>
        <w:t xml:space="preserve"> messages received.  </w:t>
      </w:r>
      <w:r w:rsidR="004764AB">
        <w:rPr>
          <w:lang w:val="en-GB"/>
        </w:rPr>
        <w:t xml:space="preserve">The goal is to use status messaging to control the workflow.   </w:t>
      </w:r>
      <w:r w:rsidR="00D31A29">
        <w:rPr>
          <w:lang w:val="en-GB"/>
        </w:rPr>
        <w:t xml:space="preserve">The RECE status will be used for initial confirmation that the message has passed schema validation (well formed) and account validation.  </w:t>
      </w:r>
      <w:r w:rsidR="004764AB">
        <w:rPr>
          <w:lang w:val="en-GB"/>
        </w:rPr>
        <w:t xml:space="preserve">Certain events which require no review will go to </w:t>
      </w:r>
      <w:r w:rsidR="00B544DB">
        <w:rPr>
          <w:lang w:val="en-GB"/>
        </w:rPr>
        <w:t xml:space="preserve">an </w:t>
      </w:r>
      <w:r w:rsidR="004764AB">
        <w:rPr>
          <w:lang w:val="en-GB"/>
        </w:rPr>
        <w:t>accepted</w:t>
      </w:r>
      <w:r w:rsidR="00B544DB">
        <w:rPr>
          <w:lang w:val="en-GB"/>
        </w:rPr>
        <w:t xml:space="preserve"> (PACK) </w:t>
      </w:r>
      <w:r w:rsidR="004764AB">
        <w:rPr>
          <w:lang w:val="en-GB"/>
        </w:rPr>
        <w:t xml:space="preserve">status with no operational review.  Some events </w:t>
      </w:r>
      <w:r w:rsidR="00F51F7B">
        <w:rPr>
          <w:lang w:val="en-GB"/>
        </w:rPr>
        <w:t>even if properly formatted will go to a Pending Confirmation status</w:t>
      </w:r>
      <w:r w:rsidR="00C24771">
        <w:rPr>
          <w:lang w:val="en-GB"/>
        </w:rPr>
        <w:t xml:space="preserve"> (PENC) for operational before either being accepted or rejected.  </w:t>
      </w:r>
      <w:r w:rsidR="00F51F7B">
        <w:rPr>
          <w:lang w:val="en-GB"/>
        </w:rPr>
        <w:t xml:space="preserve"> </w:t>
      </w:r>
      <w:r w:rsidR="00FA7EC8">
        <w:rPr>
          <w:lang w:val="en-GB"/>
        </w:rPr>
        <w:t>Once DTCC announces the even</w:t>
      </w:r>
      <w:r w:rsidR="0059284E">
        <w:rPr>
          <w:lang w:val="en-GB"/>
        </w:rPr>
        <w:t xml:space="preserve">t to the market with a COAF, a confirmation (SENT) will be provided with the COAF reference.  </w:t>
      </w:r>
      <w:r w:rsidR="00694F53">
        <w:rPr>
          <w:lang w:val="en-GB"/>
        </w:rPr>
        <w:t xml:space="preserve">Agents will be expected to cross reference any Replacement messages with the COAF and </w:t>
      </w:r>
      <w:r w:rsidR="00C11FC2">
        <w:rPr>
          <w:lang w:val="en-GB"/>
        </w:rPr>
        <w:t xml:space="preserve">the Agent Corporate Action </w:t>
      </w:r>
      <w:r w:rsidR="00B833FB">
        <w:rPr>
          <w:lang w:val="en-GB"/>
        </w:rPr>
        <w:t xml:space="preserve">Event ID.  </w:t>
      </w:r>
    </w:p>
    <w:p w14:paraId="66A64676" w14:textId="7460F8A9" w:rsidR="00FA7EC8" w:rsidRDefault="00500ABD" w:rsidP="008C2017">
      <w:pPr>
        <w:rPr>
          <w:lang w:val="en-GB"/>
        </w:rPr>
      </w:pPr>
      <w:r>
        <w:rPr>
          <w:lang w:val="en-GB"/>
        </w:rPr>
        <w:t xml:space="preserve">As well, </w:t>
      </w:r>
      <w:r w:rsidR="002B2AB2">
        <w:rPr>
          <w:lang w:val="en-GB"/>
        </w:rPr>
        <w:t xml:space="preserve">Event Cancellation requests would be received from an agent using a CACN message </w:t>
      </w:r>
      <w:r w:rsidR="00775591">
        <w:rPr>
          <w:lang w:val="en-GB"/>
        </w:rPr>
        <w:t xml:space="preserve">seev.039.002.12.  Confirmation of the Agent Cancellation would occur using the ANSA </w:t>
      </w:r>
      <w:r w:rsidR="00DF235E">
        <w:rPr>
          <w:lang w:val="en-GB"/>
        </w:rPr>
        <w:t xml:space="preserve">message with the Cancellation Request Status </w:t>
      </w:r>
      <w:r w:rsidR="00A41908">
        <w:rPr>
          <w:lang w:val="en-GB"/>
        </w:rPr>
        <w:t xml:space="preserve">either being Received (RECE), Completed (COMP) or Rejected with the </w:t>
      </w:r>
      <w:r w:rsidR="00B6717E">
        <w:rPr>
          <w:lang w:val="en-GB"/>
        </w:rPr>
        <w:t xml:space="preserve">reject code.  </w:t>
      </w:r>
    </w:p>
    <w:p w14:paraId="2CC6CDF3" w14:textId="461EB647" w:rsidR="008C2017" w:rsidRDefault="00B833FB" w:rsidP="008C2017">
      <w:pPr>
        <w:rPr>
          <w:lang w:val="en-GB"/>
        </w:rPr>
      </w:pPr>
      <w:r>
        <w:rPr>
          <w:lang w:val="en-GB"/>
        </w:rPr>
        <w:t xml:space="preserve">The change request does NOT eliminate any fields </w:t>
      </w:r>
      <w:r w:rsidR="00B540F6">
        <w:rPr>
          <w:lang w:val="en-GB"/>
        </w:rPr>
        <w:t>from the initial version of the AN</w:t>
      </w:r>
      <w:r w:rsidR="00DD78A9">
        <w:rPr>
          <w:lang w:val="en-GB"/>
        </w:rPr>
        <w:t>SA.  Instead</w:t>
      </w:r>
      <w:r w:rsidR="00965497">
        <w:rPr>
          <w:lang w:val="en-GB"/>
        </w:rPr>
        <w:t>,</w:t>
      </w:r>
      <w:r w:rsidR="00DD78A9">
        <w:rPr>
          <w:lang w:val="en-GB"/>
        </w:rPr>
        <w:t xml:space="preserve"> we have proposed the addition of certain fields / codes</w:t>
      </w:r>
      <w:r w:rsidR="00965497">
        <w:rPr>
          <w:lang w:val="en-GB"/>
        </w:rPr>
        <w:t>.  Second</w:t>
      </w:r>
      <w:proofErr w:type="gramStart"/>
      <w:r w:rsidR="00965497">
        <w:rPr>
          <w:lang w:val="en-GB"/>
        </w:rPr>
        <w:t xml:space="preserve">, </w:t>
      </w:r>
      <w:r w:rsidR="004C43FB">
        <w:rPr>
          <w:lang w:val="en-GB"/>
        </w:rPr>
        <w:t>,</w:t>
      </w:r>
      <w:proofErr w:type="gramEnd"/>
      <w:r w:rsidR="004C43FB">
        <w:rPr>
          <w:lang w:val="en-GB"/>
        </w:rPr>
        <w:t xml:space="preserve"> bringing </w:t>
      </w:r>
      <w:r w:rsidR="007A489F">
        <w:rPr>
          <w:lang w:val="en-GB"/>
        </w:rPr>
        <w:t xml:space="preserve">the message in line with the CANO structure such as data types or </w:t>
      </w:r>
      <w:r w:rsidR="00E31560">
        <w:rPr>
          <w:lang w:val="en-GB"/>
        </w:rPr>
        <w:t xml:space="preserve">elimination of the </w:t>
      </w:r>
      <w:r w:rsidR="004C43FB">
        <w:rPr>
          <w:lang w:val="en-GB"/>
        </w:rPr>
        <w:t xml:space="preserve">certain fields up to the current “type” maintained on the CANO message such as </w:t>
      </w:r>
      <w:r w:rsidR="00BD0F63">
        <w:rPr>
          <w:lang w:val="en-GB"/>
        </w:rPr>
        <w:t>“Event Type”</w:t>
      </w:r>
      <w:r w:rsidR="00E31560">
        <w:rPr>
          <w:lang w:val="en-GB"/>
        </w:rPr>
        <w:t xml:space="preserve"> and the elimination of the XOR structure. </w:t>
      </w:r>
      <w:r w:rsidR="00BD0F63">
        <w:rPr>
          <w:lang w:val="en-GB"/>
        </w:rPr>
        <w:t xml:space="preserve">Lastly, we have asked for certain elements to be repositioned </w:t>
      </w:r>
      <w:r w:rsidR="00EE5247">
        <w:rPr>
          <w:lang w:val="en-GB"/>
        </w:rPr>
        <w:t xml:space="preserve">such as Underlying Security and Other Underlying Security to conform to the CANO structure.  </w:t>
      </w:r>
      <w:r w:rsidR="004C43FB">
        <w:rPr>
          <w:lang w:val="en-GB"/>
        </w:rPr>
        <w:t xml:space="preserve">  </w:t>
      </w:r>
    </w:p>
    <w:p w14:paraId="23439CE9" w14:textId="73E750C9" w:rsidR="00660079" w:rsidRDefault="00660079" w:rsidP="008C2017">
      <w:pPr>
        <w:rPr>
          <w:lang w:val="en-GB"/>
        </w:rPr>
      </w:pPr>
    </w:p>
    <w:p w14:paraId="0C132D6D" w14:textId="77777777" w:rsidR="00660079" w:rsidRDefault="00660079" w:rsidP="008C2017">
      <w:pPr>
        <w:rPr>
          <w:lang w:val="en-GB"/>
        </w:rPr>
      </w:pPr>
    </w:p>
    <w:p w14:paraId="682E0BC4" w14:textId="7C78BD09" w:rsidR="00783891" w:rsidRDefault="00AA5E76" w:rsidP="008C2017">
      <w:pPr>
        <w:rPr>
          <w:b/>
          <w:szCs w:val="24"/>
          <w:lang w:val="en-GB"/>
        </w:rPr>
      </w:pPr>
      <w:r>
        <w:rPr>
          <w:b/>
          <w:szCs w:val="24"/>
          <w:lang w:val="en-GB"/>
        </w:rPr>
        <w:t>Urgency of the request</w:t>
      </w:r>
      <w:r w:rsidR="00783891">
        <w:rPr>
          <w:b/>
          <w:szCs w:val="24"/>
          <w:lang w:val="en-GB"/>
        </w:rPr>
        <w:t>:</w:t>
      </w:r>
    </w:p>
    <w:p w14:paraId="74C2C0B0" w14:textId="32A96A7F" w:rsidR="00523424" w:rsidRDefault="00523424" w:rsidP="008C2017">
      <w:pPr>
        <w:rPr>
          <w:b/>
          <w:szCs w:val="24"/>
          <w:lang w:val="en-GB"/>
        </w:rPr>
      </w:pPr>
      <w:r>
        <w:rPr>
          <w:b/>
          <w:szCs w:val="24"/>
          <w:lang w:val="en-GB"/>
        </w:rPr>
        <w:t xml:space="preserve">For SR2024 production release.  </w:t>
      </w:r>
    </w:p>
    <w:p w14:paraId="30B316CB"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617E2BC2"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40618C4A"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794FD26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06481D0E"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A46D5A4" w14:textId="77777777" w:rsidTr="003B0FD2">
        <w:trPr>
          <w:gridAfter w:val="3"/>
          <w:wAfter w:w="5623" w:type="dxa"/>
          <w:trHeight w:val="485"/>
        </w:trPr>
        <w:tc>
          <w:tcPr>
            <w:tcW w:w="1242" w:type="dxa"/>
            <w:gridSpan w:val="2"/>
          </w:tcPr>
          <w:p w14:paraId="178F4EF9" w14:textId="77777777" w:rsidR="00C40729" w:rsidRPr="00E3221E" w:rsidRDefault="00C40729" w:rsidP="0025138E">
            <w:pPr>
              <w:rPr>
                <w:b/>
                <w:szCs w:val="24"/>
                <w:lang w:val="en-GB"/>
              </w:rPr>
            </w:pPr>
            <w:r w:rsidRPr="00E3221E">
              <w:rPr>
                <w:b/>
                <w:szCs w:val="24"/>
                <w:lang w:val="en-GB"/>
              </w:rPr>
              <w:t>Consider</w:t>
            </w:r>
          </w:p>
        </w:tc>
        <w:tc>
          <w:tcPr>
            <w:tcW w:w="567" w:type="dxa"/>
          </w:tcPr>
          <w:p w14:paraId="6FD5525D" w14:textId="35CB77C9" w:rsidR="00C40729" w:rsidRPr="00AD7CD5" w:rsidRDefault="0000649C"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65C5A48E" w14:textId="77777777" w:rsidR="00C40729" w:rsidRPr="00E3221E" w:rsidRDefault="00C40729" w:rsidP="0025138E">
            <w:pPr>
              <w:rPr>
                <w:b/>
                <w:szCs w:val="24"/>
                <w:lang w:val="en-GB"/>
              </w:rPr>
            </w:pPr>
            <w:r w:rsidRPr="00E3221E">
              <w:rPr>
                <w:b/>
                <w:szCs w:val="24"/>
                <w:lang w:val="en-GB"/>
              </w:rPr>
              <w:t>Timing</w:t>
            </w:r>
          </w:p>
        </w:tc>
      </w:tr>
      <w:tr w:rsidR="00130EB9" w:rsidRPr="006D7FF8" w14:paraId="46E858AF" w14:textId="77777777" w:rsidTr="00130EB9">
        <w:trPr>
          <w:gridBefore w:val="1"/>
          <w:gridAfter w:val="1"/>
          <w:wBefore w:w="1059" w:type="dxa"/>
          <w:wAfter w:w="945" w:type="dxa"/>
          <w:trHeight w:val="501"/>
        </w:trPr>
        <w:tc>
          <w:tcPr>
            <w:tcW w:w="750" w:type="dxa"/>
            <w:gridSpan w:val="2"/>
            <w:tcBorders>
              <w:left w:val="nil"/>
              <w:bottom w:val="nil"/>
            </w:tcBorders>
          </w:tcPr>
          <w:p w14:paraId="3A7EF0A9" w14:textId="77777777" w:rsidR="00130EB9" w:rsidRDefault="00130EB9" w:rsidP="0025138E">
            <w:pPr>
              <w:rPr>
                <w:szCs w:val="24"/>
                <w:lang w:val="en-GB"/>
              </w:rPr>
            </w:pPr>
          </w:p>
        </w:tc>
        <w:tc>
          <w:tcPr>
            <w:tcW w:w="5954" w:type="dxa"/>
            <w:gridSpan w:val="2"/>
          </w:tcPr>
          <w:p w14:paraId="32E35571" w14:textId="5AB4194D"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3B0FD2">
              <w:rPr>
                <w:b/>
                <w:szCs w:val="24"/>
                <w:lang w:val="en-GB"/>
              </w:rPr>
              <w:t>3</w:t>
            </w:r>
            <w:r>
              <w:rPr>
                <w:b/>
                <w:szCs w:val="24"/>
                <w:lang w:val="en-GB"/>
              </w:rPr>
              <w:t>/20</w:t>
            </w:r>
            <w:r w:rsidR="00B43BED">
              <w:rPr>
                <w:b/>
                <w:szCs w:val="24"/>
                <w:lang w:val="en-GB"/>
              </w:rPr>
              <w:t>2</w:t>
            </w:r>
            <w:r w:rsidR="003B0FD2">
              <w:rPr>
                <w:b/>
                <w:szCs w:val="24"/>
                <w:lang w:val="en-GB"/>
              </w:rPr>
              <w:t>4</w:t>
            </w:r>
          </w:p>
          <w:p w14:paraId="5651A5EB" w14:textId="20033315"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w:t>
            </w:r>
            <w:r w:rsidR="0000649C">
              <w:rPr>
                <w:szCs w:val="24"/>
                <w:lang w:val="en-GB"/>
              </w:rPr>
              <w:t>3</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00649C">
              <w:rPr>
                <w:szCs w:val="24"/>
                <w:lang w:val="en-GB"/>
              </w:rPr>
              <w:t>4</w:t>
            </w:r>
            <w:r>
              <w:rPr>
                <w:szCs w:val="24"/>
                <w:lang w:val="en-GB"/>
              </w:rPr>
              <w:t>)</w:t>
            </w:r>
          </w:p>
        </w:tc>
        <w:tc>
          <w:tcPr>
            <w:tcW w:w="425" w:type="dxa"/>
            <w:tcBorders>
              <w:bottom w:val="single" w:sz="4" w:space="0" w:color="auto"/>
            </w:tcBorders>
          </w:tcPr>
          <w:p w14:paraId="1557085B" w14:textId="301D2CF1" w:rsidR="00130EB9" w:rsidRPr="00AD7CD5" w:rsidRDefault="0000649C" w:rsidP="0025138E">
            <w:pPr>
              <w:spacing w:before="0"/>
              <w:jc w:val="both"/>
              <w:rPr>
                <w:color w:val="FF0000"/>
                <w:szCs w:val="24"/>
                <w:lang w:val="en-GB"/>
              </w:rPr>
            </w:pPr>
            <w:r>
              <w:rPr>
                <w:color w:val="FF0000"/>
                <w:szCs w:val="24"/>
                <w:lang w:val="en-GB"/>
              </w:rPr>
              <w:t>X</w:t>
            </w:r>
          </w:p>
        </w:tc>
      </w:tr>
      <w:tr w:rsidR="00C40729" w:rsidRPr="006D7FF8" w14:paraId="0DD1AC30" w14:textId="77777777" w:rsidTr="00130EB9">
        <w:trPr>
          <w:gridBefore w:val="1"/>
          <w:gridAfter w:val="1"/>
          <w:wBefore w:w="1059" w:type="dxa"/>
          <w:wAfter w:w="945" w:type="dxa"/>
          <w:trHeight w:val="501"/>
        </w:trPr>
        <w:tc>
          <w:tcPr>
            <w:tcW w:w="750" w:type="dxa"/>
            <w:gridSpan w:val="2"/>
            <w:tcBorders>
              <w:top w:val="nil"/>
              <w:left w:val="nil"/>
              <w:bottom w:val="nil"/>
            </w:tcBorders>
          </w:tcPr>
          <w:p w14:paraId="5A9F124E" w14:textId="77777777" w:rsidR="00C40729" w:rsidRDefault="00C40729" w:rsidP="0025138E">
            <w:pPr>
              <w:spacing w:before="0"/>
              <w:rPr>
                <w:szCs w:val="24"/>
                <w:lang w:val="en-GB"/>
              </w:rPr>
            </w:pPr>
          </w:p>
        </w:tc>
        <w:tc>
          <w:tcPr>
            <w:tcW w:w="5954" w:type="dxa"/>
            <w:gridSpan w:val="2"/>
          </w:tcPr>
          <w:p w14:paraId="238E2749"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1F85D30B"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6BFE1753" w14:textId="77777777" w:rsidR="00C40729" w:rsidRPr="00AD7CD5" w:rsidRDefault="00C40729" w:rsidP="0025138E">
            <w:pPr>
              <w:spacing w:before="0"/>
              <w:jc w:val="center"/>
              <w:rPr>
                <w:color w:val="FF0000"/>
                <w:szCs w:val="24"/>
                <w:lang w:val="en-GB"/>
              </w:rPr>
            </w:pPr>
          </w:p>
        </w:tc>
      </w:tr>
      <w:tr w:rsidR="00C40729" w:rsidRPr="006D7FF8" w14:paraId="6B7ED6C8" w14:textId="77777777" w:rsidTr="00130EB9">
        <w:trPr>
          <w:gridBefore w:val="1"/>
          <w:wBefore w:w="1059" w:type="dxa"/>
          <w:trHeight w:val="511"/>
        </w:trPr>
        <w:tc>
          <w:tcPr>
            <w:tcW w:w="750" w:type="dxa"/>
            <w:gridSpan w:val="2"/>
            <w:tcBorders>
              <w:top w:val="nil"/>
              <w:left w:val="nil"/>
              <w:bottom w:val="nil"/>
            </w:tcBorders>
          </w:tcPr>
          <w:p w14:paraId="3FC7699B" w14:textId="77777777" w:rsidR="00C40729" w:rsidRDefault="00C40729" w:rsidP="0025138E">
            <w:pPr>
              <w:spacing w:before="0"/>
              <w:rPr>
                <w:szCs w:val="24"/>
                <w:lang w:val="en-GB"/>
              </w:rPr>
            </w:pPr>
          </w:p>
        </w:tc>
        <w:tc>
          <w:tcPr>
            <w:tcW w:w="5954" w:type="dxa"/>
            <w:gridSpan w:val="2"/>
          </w:tcPr>
          <w:p w14:paraId="602B33AD"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746A61EA"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303B47B1"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6D3A2A8A" w14:textId="77777777" w:rsidR="00C40729" w:rsidRDefault="00C40729" w:rsidP="0025138E">
            <w:pPr>
              <w:ind w:left="360"/>
              <w:jc w:val="both"/>
              <w:rPr>
                <w:szCs w:val="24"/>
                <w:lang w:val="en-GB"/>
              </w:rPr>
            </w:pPr>
          </w:p>
        </w:tc>
      </w:tr>
      <w:tr w:rsidR="00C40729" w:rsidRPr="006D7FF8" w14:paraId="5970E65B" w14:textId="77777777" w:rsidTr="00130EB9">
        <w:trPr>
          <w:gridBefore w:val="1"/>
          <w:wBefore w:w="1059" w:type="dxa"/>
          <w:trHeight w:val="511"/>
        </w:trPr>
        <w:tc>
          <w:tcPr>
            <w:tcW w:w="750" w:type="dxa"/>
            <w:gridSpan w:val="2"/>
            <w:tcBorders>
              <w:top w:val="nil"/>
              <w:left w:val="nil"/>
              <w:bottom w:val="nil"/>
            </w:tcBorders>
          </w:tcPr>
          <w:p w14:paraId="7C02B129" w14:textId="77777777" w:rsidR="00C40729" w:rsidRDefault="00C40729" w:rsidP="0025138E">
            <w:pPr>
              <w:spacing w:before="0"/>
              <w:rPr>
                <w:szCs w:val="24"/>
                <w:lang w:val="en-GB"/>
              </w:rPr>
            </w:pPr>
          </w:p>
        </w:tc>
        <w:tc>
          <w:tcPr>
            <w:tcW w:w="6379" w:type="dxa"/>
            <w:gridSpan w:val="3"/>
          </w:tcPr>
          <w:p w14:paraId="0E537180"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235FBDD" w14:textId="77777777" w:rsidR="00C40729" w:rsidRDefault="00C40729" w:rsidP="0025138E">
            <w:pPr>
              <w:ind w:left="360"/>
              <w:jc w:val="both"/>
              <w:rPr>
                <w:szCs w:val="24"/>
                <w:lang w:val="en-GB"/>
              </w:rPr>
            </w:pPr>
          </w:p>
          <w:p w14:paraId="5C0C283F" w14:textId="77777777" w:rsidR="00C40729" w:rsidRDefault="00C40729" w:rsidP="0025138E">
            <w:pPr>
              <w:ind w:left="360"/>
              <w:jc w:val="both"/>
              <w:rPr>
                <w:szCs w:val="24"/>
                <w:lang w:val="en-GB"/>
              </w:rPr>
            </w:pPr>
          </w:p>
        </w:tc>
      </w:tr>
    </w:tbl>
    <w:p w14:paraId="5B42195C" w14:textId="77777777" w:rsidR="00C41DDB" w:rsidRDefault="00C41DDB" w:rsidP="00567F13">
      <w:pPr>
        <w:rPr>
          <w:szCs w:val="24"/>
          <w:lang w:val="en-GB"/>
        </w:rPr>
      </w:pPr>
      <w:r>
        <w:rPr>
          <w:szCs w:val="24"/>
          <w:lang w:val="en-GB"/>
        </w:rPr>
        <w:t>Comments:</w:t>
      </w:r>
    </w:p>
    <w:p w14:paraId="11D3B245" w14:textId="77777777" w:rsidR="00C41DDB" w:rsidRDefault="00C41DDB" w:rsidP="00C41DDB">
      <w:pPr>
        <w:rPr>
          <w:szCs w:val="24"/>
          <w:lang w:val="en-GB"/>
        </w:rPr>
      </w:pPr>
    </w:p>
    <w:p w14:paraId="016ABE5D"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3CED706B" w14:textId="77777777" w:rsidTr="00C40729">
        <w:tc>
          <w:tcPr>
            <w:tcW w:w="1242" w:type="dxa"/>
          </w:tcPr>
          <w:p w14:paraId="77159939" w14:textId="77777777" w:rsidR="00C41DDB" w:rsidRPr="00E3221E" w:rsidRDefault="00C41DDB" w:rsidP="00C41DDB">
            <w:pPr>
              <w:rPr>
                <w:b/>
                <w:szCs w:val="24"/>
                <w:lang w:val="en-GB"/>
              </w:rPr>
            </w:pPr>
            <w:r w:rsidRPr="00E3221E">
              <w:rPr>
                <w:b/>
                <w:szCs w:val="24"/>
                <w:lang w:val="en-GB"/>
              </w:rPr>
              <w:t>Reject</w:t>
            </w:r>
          </w:p>
        </w:tc>
        <w:tc>
          <w:tcPr>
            <w:tcW w:w="567" w:type="dxa"/>
          </w:tcPr>
          <w:p w14:paraId="12A41CB1" w14:textId="77777777" w:rsidR="00C41DDB" w:rsidRPr="00AD7CD5" w:rsidRDefault="00C41DDB" w:rsidP="00C41DDB">
            <w:pPr>
              <w:rPr>
                <w:color w:val="FF0000"/>
                <w:szCs w:val="24"/>
                <w:lang w:val="en-GB"/>
              </w:rPr>
            </w:pPr>
          </w:p>
        </w:tc>
      </w:tr>
    </w:tbl>
    <w:p w14:paraId="7BFE8299"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1908" w14:textId="77777777" w:rsidR="00B825B0" w:rsidRDefault="00B825B0">
      <w:r>
        <w:separator/>
      </w:r>
    </w:p>
  </w:endnote>
  <w:endnote w:type="continuationSeparator" w:id="0">
    <w:p w14:paraId="61335678" w14:textId="77777777" w:rsidR="00B825B0" w:rsidRDefault="00B8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3258" w14:textId="77777777" w:rsidR="00A01FE5" w:rsidRDefault="00A01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0764" w14:textId="77A5A8C0" w:rsidR="00567F13" w:rsidRDefault="00000000">
    <w:pPr>
      <w:pStyle w:val="Footer"/>
      <w:rPr>
        <w:rStyle w:val="PageNumber"/>
      </w:rPr>
    </w:pPr>
    <w:fldSimple w:instr=" FILENAME   \* MERGEFORMAT ">
      <w:r w:rsidR="006D79A7">
        <w:rPr>
          <w:noProof/>
        </w:rPr>
        <w:t>CR1315_ISITC_SE_Agent-Notifcation-Status-Message_v1.docx</w:t>
      </w:r>
    </w:fldSimple>
    <w:r w:rsidR="00567F13">
      <w:tab/>
      <w:t>Produced by</w:t>
    </w:r>
    <w:r w:rsidR="00A01FE5">
      <w:t xml:space="preserve"> </w:t>
    </w:r>
    <w:r w:rsidR="00421D8F">
      <w:t>DTCC</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31BF35EF" w14:textId="77777777" w:rsidR="00567F13" w:rsidRDefault="00567F13">
    <w:pPr>
      <w:pStyle w:val="Footer"/>
      <w:rPr>
        <w:rStyle w:val="PageNumber"/>
      </w:rPr>
    </w:pPr>
  </w:p>
  <w:p w14:paraId="0F84EAEB"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E9AA" w14:textId="77777777" w:rsidR="00A01FE5" w:rsidRDefault="00A01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9CF4" w14:textId="77777777" w:rsidR="00B825B0" w:rsidRDefault="00B825B0">
      <w:r>
        <w:separator/>
      </w:r>
    </w:p>
  </w:footnote>
  <w:footnote w:type="continuationSeparator" w:id="0">
    <w:p w14:paraId="3703EF8F" w14:textId="77777777" w:rsidR="00B825B0" w:rsidRDefault="00B8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E8D" w14:textId="77777777" w:rsidR="00A01FE5" w:rsidRDefault="00A01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D0B8" w14:textId="65484A8A" w:rsidR="00E74C04" w:rsidRPr="00801493" w:rsidRDefault="00801493">
    <w:pPr>
      <w:pStyle w:val="Header"/>
      <w:rPr>
        <w:lang w:val="fr-BE"/>
      </w:rPr>
    </w:pPr>
    <w:r>
      <w:rPr>
        <w:lang w:val="fr-BE"/>
      </w:rPr>
      <w:t xml:space="preserve">RA ID : </w:t>
    </w:r>
    <w:r w:rsidR="00A36F72">
      <w:rPr>
        <w:lang w:val="fr-BE"/>
      </w:rPr>
      <w:t>CR1315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0F03" w14:textId="77777777" w:rsidR="00A01FE5" w:rsidRDefault="00A01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A7C94"/>
    <w:multiLevelType w:val="hybridMultilevel"/>
    <w:tmpl w:val="277A018C"/>
    <w:lvl w:ilvl="0" w:tplc="42BA2B3C">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B46DA7"/>
    <w:multiLevelType w:val="hybridMultilevel"/>
    <w:tmpl w:val="3BEE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6079390">
    <w:abstractNumId w:val="2"/>
  </w:num>
  <w:num w:numId="2" w16cid:durableId="452359775">
    <w:abstractNumId w:val="0"/>
  </w:num>
  <w:num w:numId="3" w16cid:durableId="651829511">
    <w:abstractNumId w:val="1"/>
  </w:num>
  <w:num w:numId="4" w16cid:durableId="1028487447">
    <w:abstractNumId w:val="3"/>
  </w:num>
  <w:num w:numId="5" w16cid:durableId="161361150">
    <w:abstractNumId w:val="17"/>
  </w:num>
  <w:num w:numId="6" w16cid:durableId="1554585209">
    <w:abstractNumId w:val="8"/>
  </w:num>
  <w:num w:numId="7" w16cid:durableId="213472131">
    <w:abstractNumId w:val="12"/>
  </w:num>
  <w:num w:numId="8" w16cid:durableId="1927491163">
    <w:abstractNumId w:val="9"/>
  </w:num>
  <w:num w:numId="9" w16cid:durableId="1105034475">
    <w:abstractNumId w:val="16"/>
  </w:num>
  <w:num w:numId="10" w16cid:durableId="1542791844">
    <w:abstractNumId w:val="5"/>
  </w:num>
  <w:num w:numId="11" w16cid:durableId="1201479165">
    <w:abstractNumId w:val="7"/>
  </w:num>
  <w:num w:numId="12" w16cid:durableId="603224276">
    <w:abstractNumId w:val="10"/>
  </w:num>
  <w:num w:numId="13" w16cid:durableId="524566052">
    <w:abstractNumId w:val="4"/>
  </w:num>
  <w:num w:numId="14" w16cid:durableId="524638939">
    <w:abstractNumId w:val="6"/>
  </w:num>
  <w:num w:numId="15" w16cid:durableId="2100902310">
    <w:abstractNumId w:val="14"/>
  </w:num>
  <w:num w:numId="16" w16cid:durableId="268859075">
    <w:abstractNumId w:val="13"/>
  </w:num>
  <w:num w:numId="17" w16cid:durableId="1550145503">
    <w:abstractNumId w:val="15"/>
  </w:num>
  <w:num w:numId="18" w16cid:durableId="1605863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0649C"/>
    <w:rsid w:val="000127ED"/>
    <w:rsid w:val="00021C86"/>
    <w:rsid w:val="0003395A"/>
    <w:rsid w:val="000408BA"/>
    <w:rsid w:val="00041661"/>
    <w:rsid w:val="000558EF"/>
    <w:rsid w:val="0006293F"/>
    <w:rsid w:val="00070308"/>
    <w:rsid w:val="00076747"/>
    <w:rsid w:val="00080D3A"/>
    <w:rsid w:val="000823AA"/>
    <w:rsid w:val="00082743"/>
    <w:rsid w:val="000837C7"/>
    <w:rsid w:val="00083C96"/>
    <w:rsid w:val="00092D43"/>
    <w:rsid w:val="000A172E"/>
    <w:rsid w:val="000A20E4"/>
    <w:rsid w:val="000B62B4"/>
    <w:rsid w:val="000B65C7"/>
    <w:rsid w:val="000C015D"/>
    <w:rsid w:val="000D1E52"/>
    <w:rsid w:val="000D5D39"/>
    <w:rsid w:val="000E2471"/>
    <w:rsid w:val="000E3EFC"/>
    <w:rsid w:val="000E7941"/>
    <w:rsid w:val="000F3C8B"/>
    <w:rsid w:val="000F43E3"/>
    <w:rsid w:val="000F6CFF"/>
    <w:rsid w:val="00101212"/>
    <w:rsid w:val="00101D5F"/>
    <w:rsid w:val="00103124"/>
    <w:rsid w:val="001052A6"/>
    <w:rsid w:val="00105754"/>
    <w:rsid w:val="00121D31"/>
    <w:rsid w:val="00125BB5"/>
    <w:rsid w:val="001278A0"/>
    <w:rsid w:val="00130EB9"/>
    <w:rsid w:val="00133759"/>
    <w:rsid w:val="0014379C"/>
    <w:rsid w:val="00143E7A"/>
    <w:rsid w:val="00153ED1"/>
    <w:rsid w:val="001541AE"/>
    <w:rsid w:val="00163DB3"/>
    <w:rsid w:val="001711D3"/>
    <w:rsid w:val="0018316D"/>
    <w:rsid w:val="00185453"/>
    <w:rsid w:val="00185E8E"/>
    <w:rsid w:val="001B1858"/>
    <w:rsid w:val="001B3B59"/>
    <w:rsid w:val="001C333B"/>
    <w:rsid w:val="001D0D1B"/>
    <w:rsid w:val="001D176B"/>
    <w:rsid w:val="001D20B3"/>
    <w:rsid w:val="001E287E"/>
    <w:rsid w:val="001E2B1C"/>
    <w:rsid w:val="001E3BCF"/>
    <w:rsid w:val="002007B6"/>
    <w:rsid w:val="00214098"/>
    <w:rsid w:val="00217122"/>
    <w:rsid w:val="00217AE9"/>
    <w:rsid w:val="002201FF"/>
    <w:rsid w:val="00225AA9"/>
    <w:rsid w:val="00230574"/>
    <w:rsid w:val="00231CFF"/>
    <w:rsid w:val="00241190"/>
    <w:rsid w:val="0024186B"/>
    <w:rsid w:val="0024375D"/>
    <w:rsid w:val="002472D9"/>
    <w:rsid w:val="002509A2"/>
    <w:rsid w:val="0025138E"/>
    <w:rsid w:val="002521C9"/>
    <w:rsid w:val="002711E6"/>
    <w:rsid w:val="00282D4E"/>
    <w:rsid w:val="002904C8"/>
    <w:rsid w:val="002916CF"/>
    <w:rsid w:val="002B0567"/>
    <w:rsid w:val="002B2A61"/>
    <w:rsid w:val="002B2AB2"/>
    <w:rsid w:val="002C6546"/>
    <w:rsid w:val="002D07F9"/>
    <w:rsid w:val="002D549A"/>
    <w:rsid w:val="002E014D"/>
    <w:rsid w:val="002E22AD"/>
    <w:rsid w:val="002E27A9"/>
    <w:rsid w:val="002F48CE"/>
    <w:rsid w:val="002F4B64"/>
    <w:rsid w:val="003006F2"/>
    <w:rsid w:val="003014E7"/>
    <w:rsid w:val="00303E94"/>
    <w:rsid w:val="00304151"/>
    <w:rsid w:val="00316F04"/>
    <w:rsid w:val="00320A89"/>
    <w:rsid w:val="00324C6F"/>
    <w:rsid w:val="00332E8F"/>
    <w:rsid w:val="00336209"/>
    <w:rsid w:val="00336ED6"/>
    <w:rsid w:val="0035535D"/>
    <w:rsid w:val="00360300"/>
    <w:rsid w:val="00362D39"/>
    <w:rsid w:val="00380928"/>
    <w:rsid w:val="00386B78"/>
    <w:rsid w:val="003A1EBF"/>
    <w:rsid w:val="003A3D7D"/>
    <w:rsid w:val="003B0FA7"/>
    <w:rsid w:val="003B0FD2"/>
    <w:rsid w:val="003B261A"/>
    <w:rsid w:val="003B2EAD"/>
    <w:rsid w:val="003B4D5E"/>
    <w:rsid w:val="003C0213"/>
    <w:rsid w:val="003C0267"/>
    <w:rsid w:val="003C3840"/>
    <w:rsid w:val="003C4353"/>
    <w:rsid w:val="003D23EC"/>
    <w:rsid w:val="003D56E3"/>
    <w:rsid w:val="003E59BF"/>
    <w:rsid w:val="003E67E5"/>
    <w:rsid w:val="003E7D33"/>
    <w:rsid w:val="003F09A8"/>
    <w:rsid w:val="003F1C24"/>
    <w:rsid w:val="003F547E"/>
    <w:rsid w:val="003F57CE"/>
    <w:rsid w:val="003F6B05"/>
    <w:rsid w:val="00401998"/>
    <w:rsid w:val="004033F5"/>
    <w:rsid w:val="00421D8F"/>
    <w:rsid w:val="004265AE"/>
    <w:rsid w:val="00427966"/>
    <w:rsid w:val="0044313F"/>
    <w:rsid w:val="00445D10"/>
    <w:rsid w:val="00446B25"/>
    <w:rsid w:val="00447021"/>
    <w:rsid w:val="004475F9"/>
    <w:rsid w:val="0045022C"/>
    <w:rsid w:val="00451986"/>
    <w:rsid w:val="00462051"/>
    <w:rsid w:val="00465900"/>
    <w:rsid w:val="0047054F"/>
    <w:rsid w:val="00473145"/>
    <w:rsid w:val="004764AB"/>
    <w:rsid w:val="00496AFC"/>
    <w:rsid w:val="004A02CE"/>
    <w:rsid w:val="004A168F"/>
    <w:rsid w:val="004A31AA"/>
    <w:rsid w:val="004B0B65"/>
    <w:rsid w:val="004B5A22"/>
    <w:rsid w:val="004C43FB"/>
    <w:rsid w:val="004D06C0"/>
    <w:rsid w:val="004D0B29"/>
    <w:rsid w:val="004E1F21"/>
    <w:rsid w:val="004F0578"/>
    <w:rsid w:val="004F0934"/>
    <w:rsid w:val="004F61D5"/>
    <w:rsid w:val="00500ABD"/>
    <w:rsid w:val="0050171A"/>
    <w:rsid w:val="0050627E"/>
    <w:rsid w:val="00521048"/>
    <w:rsid w:val="0052302E"/>
    <w:rsid w:val="00523424"/>
    <w:rsid w:val="005246BE"/>
    <w:rsid w:val="005411C7"/>
    <w:rsid w:val="00555709"/>
    <w:rsid w:val="00563FFF"/>
    <w:rsid w:val="005654B7"/>
    <w:rsid w:val="005660C0"/>
    <w:rsid w:val="005677B8"/>
    <w:rsid w:val="00567F13"/>
    <w:rsid w:val="00573C83"/>
    <w:rsid w:val="00577861"/>
    <w:rsid w:val="00577BCC"/>
    <w:rsid w:val="005810CA"/>
    <w:rsid w:val="005814C2"/>
    <w:rsid w:val="0058193F"/>
    <w:rsid w:val="0059284E"/>
    <w:rsid w:val="00594A5F"/>
    <w:rsid w:val="005960E2"/>
    <w:rsid w:val="00596453"/>
    <w:rsid w:val="005A1AA5"/>
    <w:rsid w:val="005A7F37"/>
    <w:rsid w:val="005B4CAC"/>
    <w:rsid w:val="005B602E"/>
    <w:rsid w:val="005C34E8"/>
    <w:rsid w:val="005C3D3D"/>
    <w:rsid w:val="005C4C5F"/>
    <w:rsid w:val="005D06FE"/>
    <w:rsid w:val="005E1210"/>
    <w:rsid w:val="005E3784"/>
    <w:rsid w:val="005E46E4"/>
    <w:rsid w:val="005F05DB"/>
    <w:rsid w:val="005F2E6B"/>
    <w:rsid w:val="006043A9"/>
    <w:rsid w:val="00604D9C"/>
    <w:rsid w:val="006065C5"/>
    <w:rsid w:val="00610B1B"/>
    <w:rsid w:val="00610F9A"/>
    <w:rsid w:val="00616237"/>
    <w:rsid w:val="006316E5"/>
    <w:rsid w:val="00631A43"/>
    <w:rsid w:val="0063312E"/>
    <w:rsid w:val="00633B0A"/>
    <w:rsid w:val="00637428"/>
    <w:rsid w:val="00660079"/>
    <w:rsid w:val="006643DC"/>
    <w:rsid w:val="00665C14"/>
    <w:rsid w:val="00694F53"/>
    <w:rsid w:val="006A02BC"/>
    <w:rsid w:val="006A2078"/>
    <w:rsid w:val="006A7B96"/>
    <w:rsid w:val="006B20DC"/>
    <w:rsid w:val="006C08D6"/>
    <w:rsid w:val="006D4A37"/>
    <w:rsid w:val="006D79A7"/>
    <w:rsid w:val="006E2522"/>
    <w:rsid w:val="006E3DEC"/>
    <w:rsid w:val="006E63B3"/>
    <w:rsid w:val="006F00D0"/>
    <w:rsid w:val="006F723F"/>
    <w:rsid w:val="00706604"/>
    <w:rsid w:val="007118C4"/>
    <w:rsid w:val="0071279D"/>
    <w:rsid w:val="007205B3"/>
    <w:rsid w:val="00723DE0"/>
    <w:rsid w:val="00732595"/>
    <w:rsid w:val="00733EAB"/>
    <w:rsid w:val="0074349F"/>
    <w:rsid w:val="0075466C"/>
    <w:rsid w:val="0076317E"/>
    <w:rsid w:val="00774921"/>
    <w:rsid w:val="00775591"/>
    <w:rsid w:val="00780877"/>
    <w:rsid w:val="00783891"/>
    <w:rsid w:val="00783E6C"/>
    <w:rsid w:val="00787D32"/>
    <w:rsid w:val="00790D6A"/>
    <w:rsid w:val="007949EA"/>
    <w:rsid w:val="007A489F"/>
    <w:rsid w:val="007A4CCC"/>
    <w:rsid w:val="007A6E0D"/>
    <w:rsid w:val="007B3927"/>
    <w:rsid w:val="007C0C9E"/>
    <w:rsid w:val="007C12D2"/>
    <w:rsid w:val="007C7AB4"/>
    <w:rsid w:val="007C7CD2"/>
    <w:rsid w:val="007D3EB0"/>
    <w:rsid w:val="007D3FC0"/>
    <w:rsid w:val="007D69B5"/>
    <w:rsid w:val="007D6A9F"/>
    <w:rsid w:val="007E64D9"/>
    <w:rsid w:val="007F6A8C"/>
    <w:rsid w:val="00801493"/>
    <w:rsid w:val="008050F5"/>
    <w:rsid w:val="0081068B"/>
    <w:rsid w:val="00811DCF"/>
    <w:rsid w:val="00812324"/>
    <w:rsid w:val="00814D4C"/>
    <w:rsid w:val="008170D7"/>
    <w:rsid w:val="008265E8"/>
    <w:rsid w:val="008270CD"/>
    <w:rsid w:val="008270DF"/>
    <w:rsid w:val="00831BDB"/>
    <w:rsid w:val="0084123C"/>
    <w:rsid w:val="008438AF"/>
    <w:rsid w:val="00843FE8"/>
    <w:rsid w:val="00854FA6"/>
    <w:rsid w:val="0085530C"/>
    <w:rsid w:val="00861DA2"/>
    <w:rsid w:val="0086406A"/>
    <w:rsid w:val="008656A6"/>
    <w:rsid w:val="00865C2F"/>
    <w:rsid w:val="0086676E"/>
    <w:rsid w:val="00875210"/>
    <w:rsid w:val="008869D6"/>
    <w:rsid w:val="008A7F65"/>
    <w:rsid w:val="008C2017"/>
    <w:rsid w:val="008F3C45"/>
    <w:rsid w:val="008F5C90"/>
    <w:rsid w:val="00906C6A"/>
    <w:rsid w:val="00914273"/>
    <w:rsid w:val="00916A80"/>
    <w:rsid w:val="00926161"/>
    <w:rsid w:val="009279BF"/>
    <w:rsid w:val="00930190"/>
    <w:rsid w:val="00937D26"/>
    <w:rsid w:val="00951C86"/>
    <w:rsid w:val="00956D7A"/>
    <w:rsid w:val="00957696"/>
    <w:rsid w:val="0096378E"/>
    <w:rsid w:val="00965199"/>
    <w:rsid w:val="00965497"/>
    <w:rsid w:val="00966046"/>
    <w:rsid w:val="009770EE"/>
    <w:rsid w:val="009C1445"/>
    <w:rsid w:val="009D00CC"/>
    <w:rsid w:val="00A01FE5"/>
    <w:rsid w:val="00A10221"/>
    <w:rsid w:val="00A214B5"/>
    <w:rsid w:val="00A21B8D"/>
    <w:rsid w:val="00A22F1A"/>
    <w:rsid w:val="00A25B84"/>
    <w:rsid w:val="00A32450"/>
    <w:rsid w:val="00A36F72"/>
    <w:rsid w:val="00A41908"/>
    <w:rsid w:val="00A46877"/>
    <w:rsid w:val="00A47C6F"/>
    <w:rsid w:val="00A5492F"/>
    <w:rsid w:val="00A60DC3"/>
    <w:rsid w:val="00A60E56"/>
    <w:rsid w:val="00A82C83"/>
    <w:rsid w:val="00A91F56"/>
    <w:rsid w:val="00AA5E76"/>
    <w:rsid w:val="00AA7534"/>
    <w:rsid w:val="00AB1FAA"/>
    <w:rsid w:val="00AD7CD5"/>
    <w:rsid w:val="00AE0A90"/>
    <w:rsid w:val="00AE34FA"/>
    <w:rsid w:val="00AE4D14"/>
    <w:rsid w:val="00AF09E1"/>
    <w:rsid w:val="00AF1E98"/>
    <w:rsid w:val="00AF2EBF"/>
    <w:rsid w:val="00B01132"/>
    <w:rsid w:val="00B01FD8"/>
    <w:rsid w:val="00B06CA8"/>
    <w:rsid w:val="00B21761"/>
    <w:rsid w:val="00B21FA3"/>
    <w:rsid w:val="00B24547"/>
    <w:rsid w:val="00B307A7"/>
    <w:rsid w:val="00B30D86"/>
    <w:rsid w:val="00B32A22"/>
    <w:rsid w:val="00B43BED"/>
    <w:rsid w:val="00B44DEE"/>
    <w:rsid w:val="00B45490"/>
    <w:rsid w:val="00B540F6"/>
    <w:rsid w:val="00B544DB"/>
    <w:rsid w:val="00B5520C"/>
    <w:rsid w:val="00B65C66"/>
    <w:rsid w:val="00B6717E"/>
    <w:rsid w:val="00B70B84"/>
    <w:rsid w:val="00B74C6C"/>
    <w:rsid w:val="00B825B0"/>
    <w:rsid w:val="00B8336E"/>
    <w:rsid w:val="00B833FB"/>
    <w:rsid w:val="00B865DB"/>
    <w:rsid w:val="00B921E0"/>
    <w:rsid w:val="00BA1600"/>
    <w:rsid w:val="00BA611B"/>
    <w:rsid w:val="00BB7F97"/>
    <w:rsid w:val="00BC19FA"/>
    <w:rsid w:val="00BC4D68"/>
    <w:rsid w:val="00BD0F63"/>
    <w:rsid w:val="00BD6786"/>
    <w:rsid w:val="00BE28CD"/>
    <w:rsid w:val="00C06496"/>
    <w:rsid w:val="00C06CE8"/>
    <w:rsid w:val="00C11FC2"/>
    <w:rsid w:val="00C122AE"/>
    <w:rsid w:val="00C1398F"/>
    <w:rsid w:val="00C148B3"/>
    <w:rsid w:val="00C154B9"/>
    <w:rsid w:val="00C17665"/>
    <w:rsid w:val="00C24771"/>
    <w:rsid w:val="00C32DF8"/>
    <w:rsid w:val="00C40729"/>
    <w:rsid w:val="00C41DDB"/>
    <w:rsid w:val="00C422DB"/>
    <w:rsid w:val="00C46C5A"/>
    <w:rsid w:val="00C5150D"/>
    <w:rsid w:val="00C52ABE"/>
    <w:rsid w:val="00C656B1"/>
    <w:rsid w:val="00C7056E"/>
    <w:rsid w:val="00C733E8"/>
    <w:rsid w:val="00CB683A"/>
    <w:rsid w:val="00CB7C2C"/>
    <w:rsid w:val="00CC062F"/>
    <w:rsid w:val="00CC1768"/>
    <w:rsid w:val="00CC273A"/>
    <w:rsid w:val="00CC68E1"/>
    <w:rsid w:val="00CD0745"/>
    <w:rsid w:val="00CD363B"/>
    <w:rsid w:val="00CD3C90"/>
    <w:rsid w:val="00CD59B1"/>
    <w:rsid w:val="00CF098A"/>
    <w:rsid w:val="00CF3041"/>
    <w:rsid w:val="00D123C1"/>
    <w:rsid w:val="00D17F6A"/>
    <w:rsid w:val="00D234FD"/>
    <w:rsid w:val="00D2600B"/>
    <w:rsid w:val="00D30E79"/>
    <w:rsid w:val="00D31A29"/>
    <w:rsid w:val="00D51B61"/>
    <w:rsid w:val="00D56571"/>
    <w:rsid w:val="00D67DE0"/>
    <w:rsid w:val="00D7090F"/>
    <w:rsid w:val="00D74F66"/>
    <w:rsid w:val="00D82FBD"/>
    <w:rsid w:val="00D845C6"/>
    <w:rsid w:val="00D9338F"/>
    <w:rsid w:val="00D9582C"/>
    <w:rsid w:val="00D96108"/>
    <w:rsid w:val="00D96258"/>
    <w:rsid w:val="00DA043A"/>
    <w:rsid w:val="00DA116C"/>
    <w:rsid w:val="00DA22C9"/>
    <w:rsid w:val="00DB419A"/>
    <w:rsid w:val="00DB5BE4"/>
    <w:rsid w:val="00DC195F"/>
    <w:rsid w:val="00DC68D5"/>
    <w:rsid w:val="00DD37B4"/>
    <w:rsid w:val="00DD422D"/>
    <w:rsid w:val="00DD78A9"/>
    <w:rsid w:val="00DD7EA0"/>
    <w:rsid w:val="00DE5ECE"/>
    <w:rsid w:val="00DE79BA"/>
    <w:rsid w:val="00DF235E"/>
    <w:rsid w:val="00DF73F0"/>
    <w:rsid w:val="00E11D29"/>
    <w:rsid w:val="00E13700"/>
    <w:rsid w:val="00E1588B"/>
    <w:rsid w:val="00E256FC"/>
    <w:rsid w:val="00E31560"/>
    <w:rsid w:val="00E3221E"/>
    <w:rsid w:val="00E37E77"/>
    <w:rsid w:val="00E466B4"/>
    <w:rsid w:val="00E5111B"/>
    <w:rsid w:val="00E67D1B"/>
    <w:rsid w:val="00E74C04"/>
    <w:rsid w:val="00E7537D"/>
    <w:rsid w:val="00E76E67"/>
    <w:rsid w:val="00E840B6"/>
    <w:rsid w:val="00E845AB"/>
    <w:rsid w:val="00E8579D"/>
    <w:rsid w:val="00E928F1"/>
    <w:rsid w:val="00EA0A58"/>
    <w:rsid w:val="00EA246B"/>
    <w:rsid w:val="00EA3454"/>
    <w:rsid w:val="00EA6BAB"/>
    <w:rsid w:val="00EB2786"/>
    <w:rsid w:val="00EB589C"/>
    <w:rsid w:val="00EB6791"/>
    <w:rsid w:val="00EC35A4"/>
    <w:rsid w:val="00EC4454"/>
    <w:rsid w:val="00ED1FC8"/>
    <w:rsid w:val="00ED43BB"/>
    <w:rsid w:val="00EE43B0"/>
    <w:rsid w:val="00EE5247"/>
    <w:rsid w:val="00EE5BF4"/>
    <w:rsid w:val="00EF1E93"/>
    <w:rsid w:val="00EF3F75"/>
    <w:rsid w:val="00EF6661"/>
    <w:rsid w:val="00F00885"/>
    <w:rsid w:val="00F03BF4"/>
    <w:rsid w:val="00F24E9E"/>
    <w:rsid w:val="00F25441"/>
    <w:rsid w:val="00F260BE"/>
    <w:rsid w:val="00F30BFA"/>
    <w:rsid w:val="00F33643"/>
    <w:rsid w:val="00F34C66"/>
    <w:rsid w:val="00F364E0"/>
    <w:rsid w:val="00F36998"/>
    <w:rsid w:val="00F3743B"/>
    <w:rsid w:val="00F40147"/>
    <w:rsid w:val="00F406A6"/>
    <w:rsid w:val="00F51F7B"/>
    <w:rsid w:val="00F521A4"/>
    <w:rsid w:val="00F52C18"/>
    <w:rsid w:val="00F530D1"/>
    <w:rsid w:val="00F56866"/>
    <w:rsid w:val="00F62A6F"/>
    <w:rsid w:val="00F6410E"/>
    <w:rsid w:val="00F74EB6"/>
    <w:rsid w:val="00F8432C"/>
    <w:rsid w:val="00F859BF"/>
    <w:rsid w:val="00F9153A"/>
    <w:rsid w:val="00F91D83"/>
    <w:rsid w:val="00F91F93"/>
    <w:rsid w:val="00F93A64"/>
    <w:rsid w:val="00F94A2A"/>
    <w:rsid w:val="00FA112C"/>
    <w:rsid w:val="00FA7EC8"/>
    <w:rsid w:val="00FB56E2"/>
    <w:rsid w:val="00FC5011"/>
    <w:rsid w:val="00FD0B96"/>
    <w:rsid w:val="00FD5256"/>
    <w:rsid w:val="00FD54A5"/>
    <w:rsid w:val="00FD58BE"/>
    <w:rsid w:val="00FE27D6"/>
    <w:rsid w:val="00FE6405"/>
    <w:rsid w:val="00FF4AEF"/>
    <w:rsid w:val="00FF4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A8AA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8170D7"/>
    <w:rPr>
      <w:color w:val="605E5C"/>
      <w:shd w:val="clear" w:color="auto" w:fill="E1DFDD"/>
    </w:rPr>
  </w:style>
  <w:style w:type="paragraph" w:styleId="ListParagraph">
    <w:name w:val="List Paragraph"/>
    <w:basedOn w:val="Normal"/>
    <w:uiPriority w:val="34"/>
    <w:qFormat/>
    <w:rsid w:val="00E13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43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20022.org/catalogue_of_messages.pa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sloan@dtcc.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8262</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GIRBOUX Audrey</cp:lastModifiedBy>
  <cp:revision>7</cp:revision>
  <cp:lastPrinted>2009-03-10T11:18:00Z</cp:lastPrinted>
  <dcterms:created xsi:type="dcterms:W3CDTF">2023-06-01T07:39:00Z</dcterms:created>
  <dcterms:modified xsi:type="dcterms:W3CDTF">2023-07-24T14:42:00Z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72415c-b5e0-4135-baec-2048fe2a50ac_Enabled">
    <vt:lpwstr>true</vt:lpwstr>
  </property>
  <property fmtid="{D5CDD505-2E9C-101B-9397-08002B2CF9AE}" pid="3" name="MSIP_Label_3d72415c-b5e0-4135-baec-2048fe2a50ac_SetDate">
    <vt:lpwstr>2023-03-24T20:58:23Z</vt:lpwstr>
  </property>
  <property fmtid="{D5CDD505-2E9C-101B-9397-08002B2CF9AE}" pid="4" name="MSIP_Label_3d72415c-b5e0-4135-baec-2048fe2a50ac_Method">
    <vt:lpwstr>Privileged</vt:lpwstr>
  </property>
  <property fmtid="{D5CDD505-2E9C-101B-9397-08002B2CF9AE}" pid="5" name="MSIP_Label_3d72415c-b5e0-4135-baec-2048fe2a50ac_Name">
    <vt:lpwstr>3d72415c-b5e0-4135-baec-2048fe2a50ac</vt:lpwstr>
  </property>
  <property fmtid="{D5CDD505-2E9C-101B-9397-08002B2CF9AE}" pid="6" name="MSIP_Label_3d72415c-b5e0-4135-baec-2048fe2a50ac_SiteId">
    <vt:lpwstr>0465519d-7f55-4d47-998b-55e2a86f04a8</vt:lpwstr>
  </property>
  <property fmtid="{D5CDD505-2E9C-101B-9397-08002B2CF9AE}" pid="7" name="MSIP_Label_3d72415c-b5e0-4135-baec-2048fe2a50ac_ActionId">
    <vt:lpwstr>d298625e-6ae0-4061-8559-02bd3d8273b8</vt:lpwstr>
  </property>
  <property fmtid="{D5CDD505-2E9C-101B-9397-08002B2CF9AE}" pid="8" name="MSIP_Label_3d72415c-b5e0-4135-baec-2048fe2a50ac_ContentBits">
    <vt:lpwstr>2</vt:lpwstr>
  </property>
</Properties>
</file>