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AA79"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6F69A524"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proofErr w:type="gramStart"/>
      <w:r w:rsidR="00114F60" w:rsidRPr="00021E80">
        <w:t>November</w:t>
      </w:r>
      <w:proofErr w:type="gramEnd"/>
      <w:r w:rsidR="00114F60" w:rsidRPr="00021E80">
        <w:t xml:space="preserve"> and February</w:t>
      </w:r>
      <w:r w:rsidR="007F60C5" w:rsidRPr="00021E80">
        <w:t>), unless otherwise specified by the SEG</w:t>
      </w:r>
      <w:r w:rsidR="00E928F1" w:rsidRPr="00021E80">
        <w:t>.</w:t>
      </w:r>
    </w:p>
    <w:p w14:paraId="42F15754"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3FB01818"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61991DBE"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7B4E35B7" w14:textId="77777777" w:rsidTr="00021E80">
        <w:tc>
          <w:tcPr>
            <w:tcW w:w="2500" w:type="pct"/>
          </w:tcPr>
          <w:p w14:paraId="4A16F7BC" w14:textId="77777777" w:rsidR="00021E80" w:rsidRPr="00021E80" w:rsidRDefault="00021E80" w:rsidP="003A053F">
            <w:pPr>
              <w:rPr>
                <w:shd w:val="clear" w:color="auto" w:fill="E7E6E6"/>
              </w:rPr>
            </w:pPr>
            <w:r w:rsidRPr="00021E80">
              <w:t xml:space="preserve">Name of the company, organization, group, </w:t>
            </w:r>
            <w:proofErr w:type="gramStart"/>
            <w:r w:rsidRPr="00021E80">
              <w:t>initiative</w:t>
            </w:r>
            <w:proofErr w:type="gramEnd"/>
            <w:r w:rsidRPr="00021E80">
              <w:t xml:space="preserve"> or community that submits the change request.</w:t>
            </w:r>
          </w:p>
        </w:tc>
        <w:tc>
          <w:tcPr>
            <w:tcW w:w="2500" w:type="pct"/>
          </w:tcPr>
          <w:p w14:paraId="6E2ACED8" w14:textId="7514CCD8" w:rsidR="00021E80" w:rsidRPr="00021E80" w:rsidRDefault="000C6CE8" w:rsidP="003A053F">
            <w:pPr>
              <w:rPr>
                <w:shd w:val="clear" w:color="auto" w:fill="E7E6E6"/>
              </w:rPr>
            </w:pPr>
            <w:r>
              <w:t>EPC – European Payments Council</w:t>
            </w:r>
          </w:p>
        </w:tc>
      </w:tr>
    </w:tbl>
    <w:p w14:paraId="026FBA6D"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134F8E57" w14:textId="77777777" w:rsidR="00021E80" w:rsidRDefault="00021E80" w:rsidP="003A053F">
      <w:r w:rsidRPr="00021E80">
        <w:t>Person that can be contacted for additional information on the request</w:t>
      </w:r>
    </w:p>
    <w:p w14:paraId="6E144F8F"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773E45A7" w14:textId="77777777" w:rsidTr="00021E80">
        <w:tc>
          <w:tcPr>
            <w:tcW w:w="1952" w:type="pct"/>
          </w:tcPr>
          <w:p w14:paraId="1C3D1B62"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6F5050F2" w14:textId="6CD28CB7" w:rsidR="00021E80" w:rsidRPr="00021E80" w:rsidRDefault="000C6CE8" w:rsidP="0077594F">
            <w:pPr>
              <w:pStyle w:val="Heading3"/>
              <w:ind w:left="0" w:firstLine="0"/>
              <w:rPr>
                <w:b w:val="0"/>
                <w:lang w:val="en-GB"/>
              </w:rPr>
            </w:pPr>
            <w:r w:rsidRPr="000C6CE8">
              <w:rPr>
                <w:b w:val="0"/>
                <w:lang w:val="en-GB"/>
              </w:rPr>
              <w:t>Christophe Godefroi</w:t>
            </w:r>
          </w:p>
        </w:tc>
      </w:tr>
      <w:tr w:rsidR="00021E80" w:rsidRPr="00021E80" w14:paraId="78DD8CB3" w14:textId="77777777" w:rsidTr="00021E80">
        <w:tc>
          <w:tcPr>
            <w:tcW w:w="1952" w:type="pct"/>
          </w:tcPr>
          <w:p w14:paraId="2B030DAE"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2F30A959" w14:textId="744E192F" w:rsidR="00021E80" w:rsidRPr="00021E80" w:rsidRDefault="000C6CE8" w:rsidP="0077594F">
            <w:pPr>
              <w:pStyle w:val="Heading3"/>
              <w:ind w:left="0" w:firstLine="0"/>
              <w:rPr>
                <w:b w:val="0"/>
                <w:lang w:val="en-GB"/>
              </w:rPr>
            </w:pPr>
            <w:r w:rsidRPr="000C6CE8">
              <w:rPr>
                <w:b w:val="0"/>
                <w:lang w:val="en-GB"/>
              </w:rPr>
              <w:t>Christophe.godefroi@epc-cep.eu</w:t>
            </w:r>
          </w:p>
        </w:tc>
      </w:tr>
      <w:tr w:rsidR="00021E80" w:rsidRPr="00021E80" w14:paraId="5DA2FE6B" w14:textId="77777777" w:rsidTr="00021E80">
        <w:tc>
          <w:tcPr>
            <w:tcW w:w="1952" w:type="pct"/>
          </w:tcPr>
          <w:p w14:paraId="666BB945"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4DAF6ADA" w14:textId="15EAB26E" w:rsidR="00021E80" w:rsidRPr="00021E80" w:rsidRDefault="000C6CE8" w:rsidP="0077594F">
            <w:pPr>
              <w:pStyle w:val="Heading3"/>
              <w:ind w:left="0" w:firstLine="0"/>
              <w:rPr>
                <w:b w:val="0"/>
                <w:lang w:val="en-GB"/>
              </w:rPr>
            </w:pPr>
            <w:r>
              <w:rPr>
                <w:b w:val="0"/>
                <w:lang w:val="en-GB"/>
              </w:rPr>
              <w:t xml:space="preserve">+ </w:t>
            </w:r>
            <w:r w:rsidRPr="000C6CE8">
              <w:rPr>
                <w:b w:val="0"/>
                <w:lang w:val="en-GB"/>
              </w:rPr>
              <w:t>32 2 739 16 93</w:t>
            </w:r>
          </w:p>
        </w:tc>
      </w:tr>
    </w:tbl>
    <w:p w14:paraId="510724D0" w14:textId="77777777" w:rsidR="00D843BF" w:rsidRDefault="008438AF" w:rsidP="00D843BF">
      <w:pPr>
        <w:pStyle w:val="Heading2"/>
      </w:pPr>
      <w:r w:rsidRPr="00D843BF">
        <w:t>A.</w:t>
      </w:r>
      <w:r w:rsidR="000408BA" w:rsidRPr="00D843BF">
        <w:t>3</w:t>
      </w:r>
      <w:r w:rsidR="00D843BF">
        <w:tab/>
      </w:r>
      <w:r w:rsidR="0006293F" w:rsidRPr="00D843BF">
        <w:t>Sponsors:</w:t>
      </w:r>
    </w:p>
    <w:p w14:paraId="1A1C2684" w14:textId="77777777" w:rsidR="00633EA4" w:rsidRDefault="00633EA4" w:rsidP="003A053F">
      <w:r>
        <w:t xml:space="preserve">If the submitter acts on behalf of or has gained support from other </w:t>
      </w:r>
      <w:proofErr w:type="spellStart"/>
      <w:r>
        <w:t>organisations</w:t>
      </w:r>
      <w:proofErr w:type="spellEnd"/>
      <w:r>
        <w:t xml:space="preserve">, groups, </w:t>
      </w:r>
      <w:proofErr w:type="gramStart"/>
      <w:r>
        <w:t>initiatives</w:t>
      </w:r>
      <w:proofErr w:type="gramEnd"/>
      <w:r>
        <w:t xml:space="preserve"> or communities, these should be listed as sponsors.</w:t>
      </w:r>
    </w:p>
    <w:p w14:paraId="44FE5F75"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1A20618" w14:textId="77777777" w:rsidTr="003A053F">
        <w:tc>
          <w:tcPr>
            <w:tcW w:w="8978" w:type="dxa"/>
          </w:tcPr>
          <w:p w14:paraId="6DA0EC9C" w14:textId="3C066938" w:rsidR="003A053F" w:rsidRDefault="000C6CE8" w:rsidP="003A053F">
            <w:r>
              <w:t>The payment service providers (PSPs) community of SEPA (Single Euro Payments Area)</w:t>
            </w:r>
          </w:p>
        </w:tc>
      </w:tr>
    </w:tbl>
    <w:p w14:paraId="4FD0B670" w14:textId="77777777" w:rsidR="003A053F" w:rsidRDefault="003A053F" w:rsidP="003A053F"/>
    <w:p w14:paraId="14F3B9DC" w14:textId="77777777" w:rsidR="003A053F" w:rsidRDefault="003A053F" w:rsidP="003A053F">
      <w:r>
        <w:br w:type="page"/>
      </w:r>
    </w:p>
    <w:p w14:paraId="652DF839"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2F98919A" w14:textId="77777777" w:rsidR="00622329" w:rsidRDefault="00622329" w:rsidP="003A053F">
      <w:r>
        <w:t>Specify the request type: creation of new code set, update of existing code set, deletion of existing code set.</w:t>
      </w:r>
    </w:p>
    <w:p w14:paraId="0B169432"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7C3FEE12"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14686333" w14:textId="77777777" w:rsidTr="00CE2FCC">
        <w:tc>
          <w:tcPr>
            <w:tcW w:w="4485" w:type="dxa"/>
          </w:tcPr>
          <w:p w14:paraId="3B9D1350" w14:textId="77777777" w:rsidR="00622329" w:rsidRPr="00622329" w:rsidRDefault="00622329" w:rsidP="00851BC7">
            <w:r w:rsidRPr="00622329">
              <w:t>Request type</w:t>
            </w:r>
            <w:r>
              <w:t>: creation, update, deletion</w:t>
            </w:r>
          </w:p>
        </w:tc>
        <w:tc>
          <w:tcPr>
            <w:tcW w:w="4483" w:type="dxa"/>
          </w:tcPr>
          <w:p w14:paraId="13FAB7C3" w14:textId="64FB153B" w:rsidR="00622329" w:rsidRPr="00622329" w:rsidRDefault="0008523E" w:rsidP="00851BC7">
            <w:r>
              <w:t>update</w:t>
            </w:r>
          </w:p>
        </w:tc>
      </w:tr>
    </w:tbl>
    <w:p w14:paraId="03B24737" w14:textId="77777777" w:rsidR="00CE2FCC" w:rsidRPr="00D843BF" w:rsidRDefault="00CE2FCC" w:rsidP="00CE2FCC">
      <w:pPr>
        <w:pStyle w:val="Heading1"/>
        <w:numPr>
          <w:ilvl w:val="0"/>
          <w:numId w:val="25"/>
        </w:numPr>
      </w:pPr>
      <w:r w:rsidRPr="00D843BF">
        <w:t>Related External Code Set:</w:t>
      </w:r>
    </w:p>
    <w:p w14:paraId="6962B87C"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9"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0B4C4D09" w14:textId="77777777" w:rsidR="00CE2FCC" w:rsidRDefault="00CE2FCC" w:rsidP="00CE2FCC">
      <w:r w:rsidRPr="00CD0854">
        <w:t>A specific change request form must be completed for each code set to be updated.</w:t>
      </w:r>
    </w:p>
    <w:p w14:paraId="0933F989"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4596A6A9" w14:textId="77777777" w:rsidTr="00E46DB1">
        <w:tc>
          <w:tcPr>
            <w:tcW w:w="8978" w:type="dxa"/>
          </w:tcPr>
          <w:p w14:paraId="29F8B724" w14:textId="249433E1" w:rsidR="00CE2FCC" w:rsidRDefault="000C6CE8" w:rsidP="00E46DB1">
            <w:r>
              <w:t>ExternalServiceLevel1Code</w:t>
            </w:r>
          </w:p>
        </w:tc>
      </w:tr>
    </w:tbl>
    <w:p w14:paraId="3F847F48"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5913B77C"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6472F114"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28976EB9"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9DC3880" w14:textId="77777777" w:rsidTr="00423B72">
        <w:tc>
          <w:tcPr>
            <w:tcW w:w="8978" w:type="dxa"/>
          </w:tcPr>
          <w:p w14:paraId="2B41C8BD" w14:textId="7C1F82D6" w:rsidR="000C6CE8" w:rsidRDefault="000C6CE8" w:rsidP="000C6CE8">
            <w:r>
              <w:t xml:space="preserve">The EPC has recently created a new scheme, which is called the “One-Leg Out Instant Credit Transfer Scheme”. This scheme consists of a set of rules, </w:t>
            </w:r>
            <w:proofErr w:type="gramStart"/>
            <w:r>
              <w:t>practices</w:t>
            </w:r>
            <w:proofErr w:type="gramEnd"/>
            <w:r>
              <w:t xml:space="preserve"> and standards to achieve interoperability for the provision and operation of the </w:t>
            </w:r>
            <w:r w:rsidRPr="000C6CE8">
              <w:rPr>
                <w:b/>
                <w:bCs/>
              </w:rPr>
              <w:t>Euro leg</w:t>
            </w:r>
            <w:r>
              <w:t xml:space="preserve"> of an international instant payment instrument agreed at inter-PSP Level to support One-Leg Out (OLO) Instant Credit Transfer (OCT Inst) Transactions. </w:t>
            </w:r>
          </w:p>
          <w:p w14:paraId="11EB7CBD" w14:textId="77777777" w:rsidR="000C6CE8" w:rsidRDefault="000C6CE8" w:rsidP="000C6CE8">
            <w:r>
              <w:t xml:space="preserve">The characterization of this OCT Inst Scheme is to be achieved via the combination of </w:t>
            </w:r>
          </w:p>
          <w:p w14:paraId="121D1CEE" w14:textId="77777777" w:rsidR="000C6CE8" w:rsidRDefault="000C6CE8" w:rsidP="000C6CE8">
            <w:r>
              <w:t xml:space="preserve">Service Level Code “EOLO” with the already broadly established Local Instrument Code </w:t>
            </w:r>
          </w:p>
          <w:p w14:paraId="547F7C9B" w14:textId="33C7A1DA" w:rsidR="003A053F" w:rsidRDefault="000C6CE8" w:rsidP="000C6CE8">
            <w:r>
              <w:t>“INST”.</w:t>
            </w:r>
          </w:p>
        </w:tc>
      </w:tr>
    </w:tbl>
    <w:p w14:paraId="50705972"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0124472E"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67CB5E3D" w14:textId="77777777" w:rsidR="00F34C66" w:rsidRDefault="00CF098A" w:rsidP="003A053F">
      <w:r w:rsidRPr="00CD0854">
        <w:lastRenderedPageBreak/>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7FEB42A4"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B3ECA5E" w14:textId="77777777" w:rsidTr="00423B72">
        <w:tc>
          <w:tcPr>
            <w:tcW w:w="8978" w:type="dxa"/>
          </w:tcPr>
          <w:p w14:paraId="7F689C3D" w14:textId="5EB5D25B" w:rsidR="003A053F" w:rsidRDefault="000C6CE8" w:rsidP="00423B72">
            <w:r>
              <w:t>Publication in the next quarterly External Code Set is required given that this code will need to be included in version 1.0 of the OCT Inst implementation guidelines which are scheduled to be published by end of June 2023.</w:t>
            </w:r>
          </w:p>
        </w:tc>
      </w:tr>
    </w:tbl>
    <w:p w14:paraId="62E65BE0" w14:textId="77777777" w:rsidR="00622329" w:rsidRDefault="00622329" w:rsidP="00622329">
      <w:pPr>
        <w:rPr>
          <w:lang w:val="en-GB"/>
        </w:rPr>
      </w:pPr>
    </w:p>
    <w:p w14:paraId="3A5F9796" w14:textId="77777777" w:rsidR="00622329" w:rsidRDefault="00622329" w:rsidP="00622329">
      <w:pPr>
        <w:rPr>
          <w:lang w:val="en-GB"/>
        </w:rPr>
      </w:pPr>
      <w:r>
        <w:rPr>
          <w:lang w:val="en-GB"/>
        </w:rPr>
        <w:br w:type="page"/>
      </w:r>
    </w:p>
    <w:p w14:paraId="00472EF6"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45E14233"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6DB56628"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CA0D87D" w14:textId="77777777" w:rsidTr="000C6CE8">
        <w:trPr>
          <w:trHeight w:val="8487"/>
        </w:trPr>
        <w:tc>
          <w:tcPr>
            <w:tcW w:w="8978" w:type="dxa"/>
          </w:tcPr>
          <w:p w14:paraId="7F7ED2E9" w14:textId="6735253C" w:rsidR="000C6CE8" w:rsidRDefault="000C6CE8" w:rsidP="00423B72">
            <w:r>
              <w:t xml:space="preserve">For </w:t>
            </w:r>
            <w:proofErr w:type="gramStart"/>
            <w:r>
              <w:t>example</w:t>
            </w:r>
            <w:proofErr w:type="gramEnd"/>
            <w:r>
              <w:t xml:space="preserve"> a pain.001 or pacs.008 message is sent to the next party in the chain with Service Level Code “EOLO”, in combination with Local Instrument Code “INST”, to indicate that the payment must be executed following the OCT Inst scheme. The OCT Inst scheme supports both incoming and outgoing OCT Inst Transactions (please see below diagrams) from the perspective of a payee/creditor and a payer/debtor respectively holding a payment account held at a Euro Leg-Based Payee’s PSP and at a Euro Leg-Based Payer’s PSP, and any related Exception Handling and Inquiries.</w:t>
            </w:r>
          </w:p>
          <w:p w14:paraId="7CE26A80" w14:textId="151CAC6F" w:rsidR="000C6CE8" w:rsidRDefault="000C6CE8" w:rsidP="00423B72">
            <w:r w:rsidRPr="000C6CE8">
              <w:rPr>
                <w:b/>
                <w:bCs/>
              </w:rPr>
              <w:t>Incoming OCT Inst Transactions</w:t>
            </w:r>
          </w:p>
          <w:p w14:paraId="4D14A27E" w14:textId="58344188" w:rsidR="000C6CE8" w:rsidRDefault="000C6CE8" w:rsidP="000C6CE8">
            <w:pPr>
              <w:jc w:val="center"/>
            </w:pPr>
            <w:r>
              <w:rPr>
                <w:noProof/>
              </w:rPr>
              <w:drawing>
                <wp:inline distT="0" distB="0" distL="0" distR="0" wp14:anchorId="67C2F278" wp14:editId="3CDCCD4C">
                  <wp:extent cx="3486329" cy="1619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86329" cy="1619333"/>
                          </a:xfrm>
                          <a:prstGeom prst="rect">
                            <a:avLst/>
                          </a:prstGeom>
                        </pic:spPr>
                      </pic:pic>
                    </a:graphicData>
                  </a:graphic>
                </wp:inline>
              </w:drawing>
            </w:r>
          </w:p>
          <w:p w14:paraId="6E13EC97" w14:textId="7700727D" w:rsidR="003A053F" w:rsidRPr="000C6CE8" w:rsidRDefault="000C6CE8" w:rsidP="00423B72">
            <w:pPr>
              <w:rPr>
                <w:b/>
                <w:bCs/>
              </w:rPr>
            </w:pPr>
            <w:r w:rsidRPr="000C6CE8">
              <w:rPr>
                <w:b/>
                <w:bCs/>
              </w:rPr>
              <w:t>Outgoing OCT Inst Transactions</w:t>
            </w:r>
          </w:p>
          <w:p w14:paraId="631D0DA2" w14:textId="500E63B0" w:rsidR="000C6CE8" w:rsidRDefault="000C6CE8" w:rsidP="000C6CE8">
            <w:pPr>
              <w:jc w:val="center"/>
            </w:pPr>
            <w:r>
              <w:rPr>
                <w:noProof/>
              </w:rPr>
              <w:drawing>
                <wp:inline distT="0" distB="0" distL="0" distR="0" wp14:anchorId="5313399E" wp14:editId="239644B5">
                  <wp:extent cx="3702240" cy="172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02240" cy="1720938"/>
                          </a:xfrm>
                          <a:prstGeom prst="rect">
                            <a:avLst/>
                          </a:prstGeom>
                        </pic:spPr>
                      </pic:pic>
                    </a:graphicData>
                  </a:graphic>
                </wp:inline>
              </w:drawing>
            </w:r>
          </w:p>
        </w:tc>
      </w:tr>
    </w:tbl>
    <w:p w14:paraId="719E2F0A" w14:textId="77777777" w:rsidR="00622329" w:rsidRDefault="00622329" w:rsidP="003A053F">
      <w:pPr>
        <w:rPr>
          <w:lang w:val="en-GB"/>
        </w:rPr>
      </w:pPr>
    </w:p>
    <w:p w14:paraId="5C7F87BF" w14:textId="77777777" w:rsidR="00622329" w:rsidRDefault="00622329" w:rsidP="00622329">
      <w:pPr>
        <w:rPr>
          <w:lang w:val="en-GB"/>
        </w:rPr>
      </w:pPr>
      <w:r>
        <w:rPr>
          <w:lang w:val="en-GB"/>
        </w:rPr>
        <w:br w:type="page"/>
      </w:r>
    </w:p>
    <w:p w14:paraId="238780A2" w14:textId="77777777" w:rsidR="00C41DDB" w:rsidRPr="00CD0854" w:rsidRDefault="00C41DDB" w:rsidP="00C53715">
      <w:pPr>
        <w:pStyle w:val="Heading1"/>
        <w:numPr>
          <w:ilvl w:val="0"/>
          <w:numId w:val="25"/>
        </w:numPr>
        <w:rPr>
          <w:lang w:val="en-GB"/>
        </w:rPr>
      </w:pPr>
      <w:r w:rsidRPr="00CD0854">
        <w:rPr>
          <w:lang w:val="en-GB"/>
        </w:rPr>
        <w:t>SEG recommendation:</w:t>
      </w:r>
    </w:p>
    <w:p w14:paraId="205E7CF4"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63EC55A9"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15BEEA72" w14:textId="77777777" w:rsidTr="00916A80">
        <w:trPr>
          <w:gridAfter w:val="2"/>
          <w:wAfter w:w="5387" w:type="dxa"/>
        </w:trPr>
        <w:tc>
          <w:tcPr>
            <w:tcW w:w="1242" w:type="dxa"/>
            <w:gridSpan w:val="2"/>
          </w:tcPr>
          <w:p w14:paraId="7C9F16FF" w14:textId="77777777" w:rsidR="00706604" w:rsidRPr="00CD0854" w:rsidRDefault="00812A48" w:rsidP="003A053F">
            <w:r w:rsidRPr="00CD0854">
              <w:t>Accept</w:t>
            </w:r>
          </w:p>
        </w:tc>
        <w:tc>
          <w:tcPr>
            <w:tcW w:w="851" w:type="dxa"/>
          </w:tcPr>
          <w:p w14:paraId="7E423656" w14:textId="6B780C00" w:rsidR="00706604" w:rsidRPr="00CD0854" w:rsidRDefault="00837CE5" w:rsidP="00FF7A58">
            <w:pPr>
              <w:jc w:val="center"/>
            </w:pPr>
            <w:r>
              <w:t>X</w:t>
            </w:r>
          </w:p>
        </w:tc>
        <w:tc>
          <w:tcPr>
            <w:tcW w:w="1417" w:type="dxa"/>
            <w:tcBorders>
              <w:top w:val="single" w:sz="4" w:space="0" w:color="auto"/>
              <w:right w:val="single" w:sz="4" w:space="0" w:color="auto"/>
            </w:tcBorders>
          </w:tcPr>
          <w:p w14:paraId="4D2B6B44" w14:textId="77777777" w:rsidR="00706604" w:rsidRPr="00CD0854" w:rsidRDefault="00916A80" w:rsidP="003A053F">
            <w:r w:rsidRPr="00CD0854">
              <w:t>Timing</w:t>
            </w:r>
          </w:p>
        </w:tc>
      </w:tr>
      <w:tr w:rsidR="00916A80" w:rsidRPr="00CD0854" w14:paraId="7F91FE9A" w14:textId="77777777" w:rsidTr="003A053F">
        <w:trPr>
          <w:gridBefore w:val="1"/>
          <w:wBefore w:w="1059" w:type="dxa"/>
          <w:trHeight w:val="501"/>
        </w:trPr>
        <w:tc>
          <w:tcPr>
            <w:tcW w:w="1034" w:type="dxa"/>
            <w:gridSpan w:val="2"/>
            <w:tcBorders>
              <w:left w:val="nil"/>
              <w:bottom w:val="nil"/>
            </w:tcBorders>
          </w:tcPr>
          <w:p w14:paraId="5834C99D" w14:textId="77777777" w:rsidR="00916A80" w:rsidRPr="00CD0854" w:rsidRDefault="00916A80" w:rsidP="003A053F">
            <w:bookmarkStart w:id="0" w:name="_Hlk222812886"/>
          </w:p>
        </w:tc>
        <w:tc>
          <w:tcPr>
            <w:tcW w:w="3544" w:type="dxa"/>
            <w:gridSpan w:val="2"/>
          </w:tcPr>
          <w:p w14:paraId="7C2780B2"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128125C0" w14:textId="77714F29" w:rsidR="00916A80" w:rsidRPr="00CD0854" w:rsidRDefault="00837CE5" w:rsidP="00FF7A58">
            <w:pPr>
              <w:jc w:val="center"/>
            </w:pPr>
            <w:r>
              <w:t>X</w:t>
            </w:r>
          </w:p>
        </w:tc>
      </w:tr>
      <w:tr w:rsidR="003A053F" w:rsidRPr="00CD0854" w14:paraId="37638633" w14:textId="77777777" w:rsidTr="003A053F">
        <w:trPr>
          <w:gridBefore w:val="1"/>
          <w:wBefore w:w="1059" w:type="dxa"/>
          <w:trHeight w:val="501"/>
        </w:trPr>
        <w:tc>
          <w:tcPr>
            <w:tcW w:w="1034" w:type="dxa"/>
            <w:gridSpan w:val="2"/>
            <w:tcBorders>
              <w:top w:val="nil"/>
              <w:left w:val="nil"/>
              <w:bottom w:val="nil"/>
            </w:tcBorders>
          </w:tcPr>
          <w:p w14:paraId="1EE16191" w14:textId="77777777" w:rsidR="003A053F" w:rsidRPr="00CD0854" w:rsidRDefault="003A053F" w:rsidP="003A053F"/>
        </w:tc>
        <w:tc>
          <w:tcPr>
            <w:tcW w:w="3544" w:type="dxa"/>
            <w:gridSpan w:val="2"/>
          </w:tcPr>
          <w:p w14:paraId="4768C8D3" w14:textId="77777777" w:rsidR="003A053F" w:rsidRPr="00CD0854" w:rsidRDefault="003A053F" w:rsidP="003A053F">
            <w:r>
              <w:t>Urgent request</w:t>
            </w:r>
          </w:p>
        </w:tc>
        <w:tc>
          <w:tcPr>
            <w:tcW w:w="3260" w:type="dxa"/>
            <w:tcBorders>
              <w:bottom w:val="single" w:sz="4" w:space="0" w:color="auto"/>
            </w:tcBorders>
          </w:tcPr>
          <w:p w14:paraId="19ED15A1" w14:textId="77777777" w:rsidR="003A053F" w:rsidRPr="00CD0854" w:rsidRDefault="003A053F" w:rsidP="003A053F"/>
        </w:tc>
      </w:tr>
      <w:bookmarkEnd w:id="0"/>
    </w:tbl>
    <w:p w14:paraId="00201BA9" w14:textId="77777777" w:rsidR="003A053F" w:rsidRDefault="003A053F" w:rsidP="003A053F"/>
    <w:p w14:paraId="6AD1E0A8" w14:textId="77777777" w:rsidR="00C41DDB" w:rsidRPr="00CD0854" w:rsidRDefault="00C41DDB" w:rsidP="003A053F">
      <w:r w:rsidRPr="00CD0854">
        <w:t>Comments:</w:t>
      </w:r>
    </w:p>
    <w:p w14:paraId="10A48B11" w14:textId="77777777" w:rsidR="00C41DDB" w:rsidRDefault="00C41DDB" w:rsidP="003A053F"/>
    <w:p w14:paraId="1377BA9C" w14:textId="77777777" w:rsidR="003A053F" w:rsidRPr="00CD0854" w:rsidRDefault="003A053F" w:rsidP="003A053F"/>
    <w:p w14:paraId="733EA552"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1D4197FC" w14:textId="77777777" w:rsidTr="00F8432C">
        <w:tc>
          <w:tcPr>
            <w:tcW w:w="1242" w:type="dxa"/>
          </w:tcPr>
          <w:p w14:paraId="455932E6" w14:textId="77777777" w:rsidR="00C41DDB" w:rsidRPr="00CD0854" w:rsidRDefault="00C41DDB" w:rsidP="003A053F">
            <w:r w:rsidRPr="00CD0854">
              <w:t>Reject</w:t>
            </w:r>
          </w:p>
        </w:tc>
        <w:tc>
          <w:tcPr>
            <w:tcW w:w="851" w:type="dxa"/>
          </w:tcPr>
          <w:p w14:paraId="0A0281FE" w14:textId="77777777" w:rsidR="00C41DDB" w:rsidRPr="00CD0854" w:rsidRDefault="00C41DDB" w:rsidP="003A053F"/>
        </w:tc>
      </w:tr>
    </w:tbl>
    <w:p w14:paraId="7870668D" w14:textId="77777777" w:rsidR="003A053F" w:rsidRDefault="003A053F" w:rsidP="003A053F"/>
    <w:p w14:paraId="0B1B1E6B" w14:textId="77777777" w:rsidR="002E221D" w:rsidRPr="00CD0854" w:rsidRDefault="00C41DDB" w:rsidP="003A053F">
      <w:r w:rsidRPr="00CD0854">
        <w:t>Reason for rejection:</w:t>
      </w:r>
    </w:p>
    <w:p w14:paraId="2A6AB7A1" w14:textId="77777777" w:rsidR="002E221D" w:rsidRDefault="002E221D" w:rsidP="003A053F"/>
    <w:p w14:paraId="5B135D46" w14:textId="77777777" w:rsidR="003A053F" w:rsidRDefault="003A053F" w:rsidP="003A053F"/>
    <w:p w14:paraId="10EE32B4" w14:textId="77777777" w:rsidR="00D843BF" w:rsidRDefault="00D843BF" w:rsidP="003A053F"/>
    <w:p w14:paraId="1D1BE8ED" w14:textId="77777777" w:rsidR="00D843BF" w:rsidRPr="00CD0854" w:rsidRDefault="00D843BF" w:rsidP="003A053F">
      <w:pPr>
        <w:sectPr w:rsidR="00D843BF" w:rsidRPr="00CD0854" w:rsidSect="000A172E">
          <w:headerReference w:type="default" r:id="rId12"/>
          <w:footerReference w:type="default" r:id="rId13"/>
          <w:pgSz w:w="11909" w:h="16834" w:code="9"/>
          <w:pgMar w:top="1440" w:right="1134" w:bottom="1440" w:left="1797" w:header="720" w:footer="720" w:gutter="0"/>
          <w:cols w:space="720"/>
          <w:docGrid w:linePitch="326"/>
        </w:sectPr>
      </w:pPr>
    </w:p>
    <w:p w14:paraId="52C39527" w14:textId="77777777" w:rsidR="00C53715" w:rsidRPr="00622329" w:rsidRDefault="00C53715" w:rsidP="00622329">
      <w:pPr>
        <w:pStyle w:val="Heading1"/>
        <w:numPr>
          <w:ilvl w:val="0"/>
          <w:numId w:val="25"/>
        </w:numPr>
        <w:rPr>
          <w:lang w:val="en-GB"/>
        </w:rPr>
      </w:pPr>
      <w:r w:rsidRPr="00622329">
        <w:rPr>
          <w:lang w:val="en-GB"/>
        </w:rPr>
        <w:t>DESCRIPTION OF THE CHANGE REQUEST</w:t>
      </w:r>
    </w:p>
    <w:p w14:paraId="343DD6D4"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17"/>
        <w:gridCol w:w="1701"/>
        <w:gridCol w:w="4962"/>
        <w:gridCol w:w="1294"/>
        <w:gridCol w:w="5651"/>
      </w:tblGrid>
      <w:tr w:rsidR="00C26092" w:rsidRPr="00AF0DB5" w14:paraId="018BDDEE" w14:textId="77777777" w:rsidTr="000C6CE8">
        <w:trPr>
          <w:trHeight w:val="300"/>
        </w:trPr>
        <w:tc>
          <w:tcPr>
            <w:tcW w:w="1068" w:type="dxa"/>
            <w:shd w:val="clear" w:color="auto" w:fill="auto"/>
          </w:tcPr>
          <w:p w14:paraId="43675ECE" w14:textId="77777777" w:rsidR="00C26092" w:rsidRDefault="00C26092" w:rsidP="003A053F">
            <w:r>
              <w:t>Type</w:t>
            </w:r>
          </w:p>
        </w:tc>
        <w:tc>
          <w:tcPr>
            <w:tcW w:w="917" w:type="dxa"/>
            <w:shd w:val="clear" w:color="auto" w:fill="auto"/>
            <w:noWrap/>
            <w:hideMark/>
          </w:tcPr>
          <w:p w14:paraId="6FACCBDE" w14:textId="77777777" w:rsidR="00C26092" w:rsidRPr="00AF0DB5" w:rsidRDefault="00C26092" w:rsidP="003A053F">
            <w:r>
              <w:t>Code Value</w:t>
            </w:r>
          </w:p>
        </w:tc>
        <w:tc>
          <w:tcPr>
            <w:tcW w:w="1701" w:type="dxa"/>
            <w:shd w:val="clear" w:color="auto" w:fill="auto"/>
            <w:noWrap/>
            <w:hideMark/>
          </w:tcPr>
          <w:p w14:paraId="5315E4FB" w14:textId="77777777" w:rsidR="00C26092" w:rsidRPr="00AF0DB5" w:rsidRDefault="00C26092" w:rsidP="003A053F">
            <w:r w:rsidRPr="00AF0DB5">
              <w:t>Code Name</w:t>
            </w:r>
          </w:p>
        </w:tc>
        <w:tc>
          <w:tcPr>
            <w:tcW w:w="4962" w:type="dxa"/>
            <w:shd w:val="clear" w:color="auto" w:fill="auto"/>
            <w:noWrap/>
            <w:hideMark/>
          </w:tcPr>
          <w:p w14:paraId="09FE493A" w14:textId="77777777" w:rsidR="00C26092" w:rsidRPr="00AF0DB5" w:rsidRDefault="00C26092" w:rsidP="003A053F">
            <w:r w:rsidRPr="00AF0DB5">
              <w:t>Code Definition</w:t>
            </w:r>
          </w:p>
        </w:tc>
        <w:tc>
          <w:tcPr>
            <w:tcW w:w="1294" w:type="dxa"/>
            <w:shd w:val="clear" w:color="auto" w:fill="auto"/>
            <w:noWrap/>
            <w:hideMark/>
          </w:tcPr>
          <w:p w14:paraId="7B4BF9F4" w14:textId="77777777" w:rsidR="00C26092" w:rsidRPr="00AF0DB5" w:rsidRDefault="00C26092" w:rsidP="003A053F">
            <w:r>
              <w:t>Replaced By</w:t>
            </w:r>
          </w:p>
        </w:tc>
        <w:tc>
          <w:tcPr>
            <w:tcW w:w="5651" w:type="dxa"/>
            <w:shd w:val="clear" w:color="auto" w:fill="auto"/>
            <w:noWrap/>
            <w:hideMark/>
          </w:tcPr>
          <w:p w14:paraId="2CC0F536" w14:textId="77777777" w:rsidR="00C26092" w:rsidRPr="00AF0DB5" w:rsidRDefault="00C26092" w:rsidP="003A053F">
            <w:r w:rsidRPr="00AF0DB5">
              <w:t>Additional Information</w:t>
            </w:r>
          </w:p>
        </w:tc>
      </w:tr>
      <w:tr w:rsidR="00C26092" w:rsidRPr="00AF0DB5" w14:paraId="4E587D44" w14:textId="77777777" w:rsidTr="000C6CE8">
        <w:trPr>
          <w:trHeight w:val="300"/>
        </w:trPr>
        <w:tc>
          <w:tcPr>
            <w:tcW w:w="1068" w:type="dxa"/>
            <w:shd w:val="clear" w:color="auto" w:fill="auto"/>
          </w:tcPr>
          <w:p w14:paraId="6DCDA79C" w14:textId="4E8A654D" w:rsidR="00C26092" w:rsidRPr="003A053F" w:rsidRDefault="00C26092" w:rsidP="003A053F">
            <w:pPr>
              <w:rPr>
                <w:highlight w:val="lightGray"/>
              </w:rPr>
            </w:pPr>
            <w:r>
              <w:rPr>
                <w:highlight w:val="lightGray"/>
              </w:rPr>
              <w:t>Addition</w:t>
            </w:r>
          </w:p>
        </w:tc>
        <w:tc>
          <w:tcPr>
            <w:tcW w:w="917" w:type="dxa"/>
            <w:shd w:val="clear" w:color="auto" w:fill="auto"/>
            <w:noWrap/>
            <w:hideMark/>
          </w:tcPr>
          <w:p w14:paraId="05A3F5B3" w14:textId="17E7D421" w:rsidR="00C26092" w:rsidRPr="003A053F" w:rsidRDefault="000C6CE8" w:rsidP="003A053F">
            <w:pPr>
              <w:rPr>
                <w:highlight w:val="lightGray"/>
              </w:rPr>
            </w:pPr>
            <w:r>
              <w:rPr>
                <w:highlight w:val="lightGray"/>
              </w:rPr>
              <w:t>EOLO</w:t>
            </w:r>
          </w:p>
        </w:tc>
        <w:tc>
          <w:tcPr>
            <w:tcW w:w="1701" w:type="dxa"/>
            <w:shd w:val="clear" w:color="auto" w:fill="auto"/>
            <w:noWrap/>
            <w:hideMark/>
          </w:tcPr>
          <w:p w14:paraId="7E1593F0" w14:textId="5A3199B8" w:rsidR="00C26092" w:rsidRPr="003A053F" w:rsidRDefault="000C6CE8" w:rsidP="003A053F">
            <w:pPr>
              <w:rPr>
                <w:highlight w:val="lightGray"/>
              </w:rPr>
            </w:pPr>
            <w:r>
              <w:t>Euro One-Leg Out</w:t>
            </w:r>
          </w:p>
        </w:tc>
        <w:tc>
          <w:tcPr>
            <w:tcW w:w="4962" w:type="dxa"/>
            <w:shd w:val="clear" w:color="auto" w:fill="auto"/>
            <w:noWrap/>
            <w:hideMark/>
          </w:tcPr>
          <w:p w14:paraId="1CD95C12" w14:textId="797F3F83" w:rsidR="00C26092" w:rsidRPr="003A053F" w:rsidRDefault="000C6CE8" w:rsidP="003A053F">
            <w:pPr>
              <w:rPr>
                <w:highlight w:val="lightGray"/>
              </w:rPr>
            </w:pPr>
            <w:r>
              <w:t>Payment is executed following a Euro One-Leg Out Scheme</w:t>
            </w:r>
          </w:p>
        </w:tc>
        <w:tc>
          <w:tcPr>
            <w:tcW w:w="1294" w:type="dxa"/>
            <w:shd w:val="clear" w:color="auto" w:fill="auto"/>
            <w:noWrap/>
          </w:tcPr>
          <w:p w14:paraId="59ADD802" w14:textId="0F5D34F3" w:rsidR="00C26092" w:rsidRPr="003A053F" w:rsidRDefault="00C26092" w:rsidP="00C26092">
            <w:pPr>
              <w:rPr>
                <w:highlight w:val="lightGray"/>
              </w:rPr>
            </w:pPr>
          </w:p>
        </w:tc>
        <w:tc>
          <w:tcPr>
            <w:tcW w:w="5651" w:type="dxa"/>
            <w:shd w:val="clear" w:color="auto" w:fill="auto"/>
            <w:noWrap/>
          </w:tcPr>
          <w:p w14:paraId="7D44AAC7" w14:textId="31907ECC" w:rsidR="00C26092" w:rsidRPr="00981063" w:rsidRDefault="00C26092" w:rsidP="00C26092"/>
        </w:tc>
      </w:tr>
      <w:tr w:rsidR="00C26092" w:rsidRPr="00AF0DB5" w14:paraId="4CF2F6D6" w14:textId="77777777" w:rsidTr="000C6CE8">
        <w:trPr>
          <w:trHeight w:val="300"/>
        </w:trPr>
        <w:tc>
          <w:tcPr>
            <w:tcW w:w="1068" w:type="dxa"/>
            <w:shd w:val="clear" w:color="auto" w:fill="auto"/>
          </w:tcPr>
          <w:p w14:paraId="33CA85FA" w14:textId="77777777" w:rsidR="00C26092" w:rsidRPr="00981063" w:rsidRDefault="00C26092" w:rsidP="003A053F"/>
        </w:tc>
        <w:tc>
          <w:tcPr>
            <w:tcW w:w="917" w:type="dxa"/>
            <w:shd w:val="clear" w:color="auto" w:fill="auto"/>
            <w:noWrap/>
          </w:tcPr>
          <w:p w14:paraId="7B828D5A" w14:textId="77777777" w:rsidR="00C26092" w:rsidRPr="00981063" w:rsidRDefault="00C26092" w:rsidP="003A053F"/>
        </w:tc>
        <w:tc>
          <w:tcPr>
            <w:tcW w:w="1701" w:type="dxa"/>
            <w:shd w:val="clear" w:color="auto" w:fill="auto"/>
            <w:noWrap/>
          </w:tcPr>
          <w:p w14:paraId="5A75A51D" w14:textId="77777777" w:rsidR="00C26092" w:rsidRPr="00981063" w:rsidRDefault="00C26092" w:rsidP="003A053F"/>
        </w:tc>
        <w:tc>
          <w:tcPr>
            <w:tcW w:w="4962" w:type="dxa"/>
            <w:shd w:val="clear" w:color="auto" w:fill="auto"/>
            <w:noWrap/>
          </w:tcPr>
          <w:p w14:paraId="6E4C2745" w14:textId="77777777" w:rsidR="00C26092" w:rsidRPr="00981063" w:rsidRDefault="00C26092" w:rsidP="003A053F"/>
        </w:tc>
        <w:tc>
          <w:tcPr>
            <w:tcW w:w="1294" w:type="dxa"/>
            <w:shd w:val="clear" w:color="auto" w:fill="auto"/>
            <w:noWrap/>
          </w:tcPr>
          <w:p w14:paraId="7A8B64D2" w14:textId="77777777" w:rsidR="00C26092" w:rsidRPr="00981063" w:rsidRDefault="00C26092" w:rsidP="003A053F"/>
        </w:tc>
        <w:tc>
          <w:tcPr>
            <w:tcW w:w="5651" w:type="dxa"/>
            <w:shd w:val="clear" w:color="auto" w:fill="auto"/>
            <w:noWrap/>
          </w:tcPr>
          <w:p w14:paraId="50A7B5B6" w14:textId="77777777" w:rsidR="00C26092" w:rsidRPr="00D740A6" w:rsidRDefault="00C26092" w:rsidP="003A053F">
            <w:pPr>
              <w:rPr>
                <w:shd w:val="clear" w:color="auto" w:fill="E7E6E6"/>
              </w:rPr>
            </w:pPr>
          </w:p>
        </w:tc>
      </w:tr>
      <w:tr w:rsidR="00C26092" w:rsidRPr="00AF0DB5" w14:paraId="72A97A0C" w14:textId="77777777" w:rsidTr="000C6CE8">
        <w:trPr>
          <w:trHeight w:val="300"/>
        </w:trPr>
        <w:tc>
          <w:tcPr>
            <w:tcW w:w="1068" w:type="dxa"/>
            <w:shd w:val="clear" w:color="auto" w:fill="auto"/>
          </w:tcPr>
          <w:p w14:paraId="1FF442EA" w14:textId="77777777" w:rsidR="00C26092" w:rsidRPr="00981063" w:rsidRDefault="00C26092" w:rsidP="003A053F"/>
        </w:tc>
        <w:tc>
          <w:tcPr>
            <w:tcW w:w="917" w:type="dxa"/>
            <w:shd w:val="clear" w:color="auto" w:fill="auto"/>
            <w:noWrap/>
          </w:tcPr>
          <w:p w14:paraId="78B7D64F" w14:textId="77777777" w:rsidR="00C26092" w:rsidRPr="00981063" w:rsidRDefault="00C26092" w:rsidP="003A053F"/>
        </w:tc>
        <w:tc>
          <w:tcPr>
            <w:tcW w:w="1701" w:type="dxa"/>
            <w:shd w:val="clear" w:color="auto" w:fill="auto"/>
            <w:noWrap/>
          </w:tcPr>
          <w:p w14:paraId="3FA58398" w14:textId="77777777" w:rsidR="00C26092" w:rsidRPr="00981063" w:rsidRDefault="00C26092" w:rsidP="003A053F"/>
        </w:tc>
        <w:tc>
          <w:tcPr>
            <w:tcW w:w="4962" w:type="dxa"/>
            <w:shd w:val="clear" w:color="auto" w:fill="auto"/>
            <w:noWrap/>
          </w:tcPr>
          <w:p w14:paraId="4BB63177" w14:textId="77777777" w:rsidR="00C26092" w:rsidRPr="00981063" w:rsidRDefault="00C26092" w:rsidP="003A053F"/>
        </w:tc>
        <w:tc>
          <w:tcPr>
            <w:tcW w:w="1294" w:type="dxa"/>
            <w:shd w:val="clear" w:color="auto" w:fill="auto"/>
            <w:noWrap/>
          </w:tcPr>
          <w:p w14:paraId="27947481" w14:textId="77777777" w:rsidR="00C26092" w:rsidRPr="00981063" w:rsidRDefault="00C26092" w:rsidP="003A053F"/>
        </w:tc>
        <w:tc>
          <w:tcPr>
            <w:tcW w:w="5651" w:type="dxa"/>
            <w:shd w:val="clear" w:color="auto" w:fill="auto"/>
            <w:noWrap/>
          </w:tcPr>
          <w:p w14:paraId="05463D47" w14:textId="77777777" w:rsidR="00C26092" w:rsidRPr="00D740A6" w:rsidRDefault="00C26092" w:rsidP="003A053F">
            <w:pPr>
              <w:rPr>
                <w:shd w:val="clear" w:color="auto" w:fill="E7E6E6"/>
              </w:rPr>
            </w:pPr>
          </w:p>
        </w:tc>
      </w:tr>
      <w:tr w:rsidR="00C26092" w:rsidRPr="00AF0DB5" w14:paraId="323E305B" w14:textId="77777777" w:rsidTr="000C6CE8">
        <w:trPr>
          <w:trHeight w:val="300"/>
        </w:trPr>
        <w:tc>
          <w:tcPr>
            <w:tcW w:w="1068" w:type="dxa"/>
            <w:shd w:val="clear" w:color="auto" w:fill="auto"/>
          </w:tcPr>
          <w:p w14:paraId="6ABC1378" w14:textId="77777777" w:rsidR="00C26092" w:rsidRPr="00981063" w:rsidRDefault="00C26092" w:rsidP="003A053F"/>
        </w:tc>
        <w:tc>
          <w:tcPr>
            <w:tcW w:w="917" w:type="dxa"/>
            <w:shd w:val="clear" w:color="auto" w:fill="auto"/>
            <w:noWrap/>
          </w:tcPr>
          <w:p w14:paraId="4C43DF33" w14:textId="77777777" w:rsidR="00C26092" w:rsidRPr="00981063" w:rsidRDefault="00C26092" w:rsidP="003A053F"/>
        </w:tc>
        <w:tc>
          <w:tcPr>
            <w:tcW w:w="1701" w:type="dxa"/>
            <w:shd w:val="clear" w:color="auto" w:fill="auto"/>
            <w:noWrap/>
          </w:tcPr>
          <w:p w14:paraId="62D683FD" w14:textId="77777777" w:rsidR="00C26092" w:rsidRPr="00981063" w:rsidRDefault="00C26092" w:rsidP="003A053F"/>
        </w:tc>
        <w:tc>
          <w:tcPr>
            <w:tcW w:w="4962" w:type="dxa"/>
            <w:shd w:val="clear" w:color="auto" w:fill="auto"/>
            <w:noWrap/>
          </w:tcPr>
          <w:p w14:paraId="5A92604B" w14:textId="77777777" w:rsidR="00C26092" w:rsidRPr="00981063" w:rsidRDefault="00C26092" w:rsidP="003A053F"/>
        </w:tc>
        <w:tc>
          <w:tcPr>
            <w:tcW w:w="1294" w:type="dxa"/>
            <w:shd w:val="clear" w:color="auto" w:fill="auto"/>
            <w:noWrap/>
          </w:tcPr>
          <w:p w14:paraId="3C84FFDA" w14:textId="77777777" w:rsidR="00C26092" w:rsidRPr="00981063" w:rsidRDefault="00C26092" w:rsidP="003A053F"/>
        </w:tc>
        <w:tc>
          <w:tcPr>
            <w:tcW w:w="5651" w:type="dxa"/>
            <w:shd w:val="clear" w:color="auto" w:fill="auto"/>
            <w:noWrap/>
          </w:tcPr>
          <w:p w14:paraId="55582988" w14:textId="77777777" w:rsidR="00C26092" w:rsidRPr="00D740A6" w:rsidRDefault="00C26092" w:rsidP="003A053F">
            <w:pPr>
              <w:rPr>
                <w:shd w:val="clear" w:color="auto" w:fill="E7E6E6"/>
              </w:rPr>
            </w:pPr>
          </w:p>
        </w:tc>
      </w:tr>
      <w:tr w:rsidR="00C26092" w:rsidRPr="00AF0DB5" w14:paraId="65A67E0A" w14:textId="77777777" w:rsidTr="000C6CE8">
        <w:trPr>
          <w:trHeight w:val="300"/>
        </w:trPr>
        <w:tc>
          <w:tcPr>
            <w:tcW w:w="1068" w:type="dxa"/>
            <w:shd w:val="clear" w:color="auto" w:fill="auto"/>
          </w:tcPr>
          <w:p w14:paraId="16D1E6C2" w14:textId="77777777" w:rsidR="00C26092" w:rsidRPr="00981063" w:rsidRDefault="00C26092" w:rsidP="003A053F"/>
        </w:tc>
        <w:tc>
          <w:tcPr>
            <w:tcW w:w="917" w:type="dxa"/>
            <w:shd w:val="clear" w:color="auto" w:fill="auto"/>
            <w:noWrap/>
          </w:tcPr>
          <w:p w14:paraId="0D8E4FD6" w14:textId="77777777" w:rsidR="00C26092" w:rsidRPr="00981063" w:rsidRDefault="00C26092" w:rsidP="003A053F"/>
        </w:tc>
        <w:tc>
          <w:tcPr>
            <w:tcW w:w="1701" w:type="dxa"/>
            <w:shd w:val="clear" w:color="auto" w:fill="auto"/>
            <w:noWrap/>
          </w:tcPr>
          <w:p w14:paraId="2799706D" w14:textId="77777777" w:rsidR="00C26092" w:rsidRPr="00981063" w:rsidRDefault="00C26092" w:rsidP="003A053F"/>
        </w:tc>
        <w:tc>
          <w:tcPr>
            <w:tcW w:w="4962" w:type="dxa"/>
            <w:shd w:val="clear" w:color="auto" w:fill="auto"/>
            <w:noWrap/>
          </w:tcPr>
          <w:p w14:paraId="447ADB77" w14:textId="77777777" w:rsidR="00C26092" w:rsidRPr="00981063" w:rsidRDefault="00C26092" w:rsidP="003A053F"/>
        </w:tc>
        <w:tc>
          <w:tcPr>
            <w:tcW w:w="1294" w:type="dxa"/>
            <w:shd w:val="clear" w:color="auto" w:fill="auto"/>
            <w:noWrap/>
          </w:tcPr>
          <w:p w14:paraId="38424437" w14:textId="77777777" w:rsidR="00C26092" w:rsidRPr="00981063" w:rsidRDefault="00C26092" w:rsidP="003A053F"/>
        </w:tc>
        <w:tc>
          <w:tcPr>
            <w:tcW w:w="5651" w:type="dxa"/>
            <w:shd w:val="clear" w:color="auto" w:fill="auto"/>
            <w:noWrap/>
          </w:tcPr>
          <w:p w14:paraId="613FBF9B" w14:textId="77777777" w:rsidR="00C26092" w:rsidRPr="00D740A6" w:rsidRDefault="00C26092" w:rsidP="003A053F">
            <w:pPr>
              <w:rPr>
                <w:shd w:val="clear" w:color="auto" w:fill="E7E6E6"/>
              </w:rPr>
            </w:pPr>
          </w:p>
        </w:tc>
      </w:tr>
      <w:tr w:rsidR="00C26092" w:rsidRPr="00AF0DB5" w14:paraId="31FEDDEA" w14:textId="77777777" w:rsidTr="000C6CE8">
        <w:trPr>
          <w:trHeight w:val="300"/>
        </w:trPr>
        <w:tc>
          <w:tcPr>
            <w:tcW w:w="1068" w:type="dxa"/>
            <w:shd w:val="clear" w:color="auto" w:fill="auto"/>
          </w:tcPr>
          <w:p w14:paraId="3F3E3294" w14:textId="77777777" w:rsidR="00C26092" w:rsidRPr="00981063" w:rsidRDefault="00C26092" w:rsidP="003A053F"/>
        </w:tc>
        <w:tc>
          <w:tcPr>
            <w:tcW w:w="917" w:type="dxa"/>
            <w:shd w:val="clear" w:color="auto" w:fill="auto"/>
            <w:noWrap/>
          </w:tcPr>
          <w:p w14:paraId="502735A6" w14:textId="77777777" w:rsidR="00C26092" w:rsidRPr="00981063" w:rsidRDefault="00C26092" w:rsidP="003A053F"/>
        </w:tc>
        <w:tc>
          <w:tcPr>
            <w:tcW w:w="1701" w:type="dxa"/>
            <w:shd w:val="clear" w:color="auto" w:fill="auto"/>
            <w:noWrap/>
          </w:tcPr>
          <w:p w14:paraId="0B421200" w14:textId="77777777" w:rsidR="00C26092" w:rsidRPr="00981063" w:rsidRDefault="00C26092" w:rsidP="003A053F"/>
        </w:tc>
        <w:tc>
          <w:tcPr>
            <w:tcW w:w="4962" w:type="dxa"/>
            <w:shd w:val="clear" w:color="auto" w:fill="auto"/>
            <w:noWrap/>
          </w:tcPr>
          <w:p w14:paraId="00B944AC" w14:textId="77777777" w:rsidR="00C26092" w:rsidRPr="00981063" w:rsidRDefault="00C26092" w:rsidP="003A053F"/>
        </w:tc>
        <w:tc>
          <w:tcPr>
            <w:tcW w:w="1294" w:type="dxa"/>
            <w:shd w:val="clear" w:color="auto" w:fill="auto"/>
            <w:noWrap/>
          </w:tcPr>
          <w:p w14:paraId="5E8C3693" w14:textId="77777777" w:rsidR="00C26092" w:rsidRPr="00981063" w:rsidRDefault="00C26092" w:rsidP="003A053F"/>
        </w:tc>
        <w:tc>
          <w:tcPr>
            <w:tcW w:w="5651" w:type="dxa"/>
            <w:shd w:val="clear" w:color="auto" w:fill="auto"/>
            <w:noWrap/>
          </w:tcPr>
          <w:p w14:paraId="4416992B" w14:textId="77777777" w:rsidR="00C26092" w:rsidRPr="00D740A6" w:rsidRDefault="00C26092" w:rsidP="003A053F">
            <w:pPr>
              <w:rPr>
                <w:shd w:val="clear" w:color="auto" w:fill="E7E6E6"/>
              </w:rPr>
            </w:pPr>
          </w:p>
        </w:tc>
      </w:tr>
      <w:tr w:rsidR="00C26092" w:rsidRPr="00AF0DB5" w14:paraId="440809B3" w14:textId="77777777" w:rsidTr="000C6CE8">
        <w:trPr>
          <w:trHeight w:val="300"/>
        </w:trPr>
        <w:tc>
          <w:tcPr>
            <w:tcW w:w="1068" w:type="dxa"/>
            <w:shd w:val="clear" w:color="auto" w:fill="auto"/>
          </w:tcPr>
          <w:p w14:paraId="199424F0" w14:textId="77777777" w:rsidR="00C26092" w:rsidRPr="00981063" w:rsidRDefault="00C26092" w:rsidP="003A053F"/>
        </w:tc>
        <w:tc>
          <w:tcPr>
            <w:tcW w:w="917" w:type="dxa"/>
            <w:shd w:val="clear" w:color="auto" w:fill="auto"/>
            <w:noWrap/>
          </w:tcPr>
          <w:p w14:paraId="6359D73D" w14:textId="77777777" w:rsidR="00C26092" w:rsidRPr="00981063" w:rsidRDefault="00C26092" w:rsidP="003A053F"/>
        </w:tc>
        <w:tc>
          <w:tcPr>
            <w:tcW w:w="1701" w:type="dxa"/>
            <w:shd w:val="clear" w:color="auto" w:fill="auto"/>
            <w:noWrap/>
          </w:tcPr>
          <w:p w14:paraId="08A32704" w14:textId="77777777" w:rsidR="00C26092" w:rsidRPr="00981063" w:rsidRDefault="00C26092" w:rsidP="003A053F"/>
        </w:tc>
        <w:tc>
          <w:tcPr>
            <w:tcW w:w="4962" w:type="dxa"/>
            <w:shd w:val="clear" w:color="auto" w:fill="auto"/>
            <w:noWrap/>
          </w:tcPr>
          <w:p w14:paraId="761C6E7C" w14:textId="77777777" w:rsidR="00C26092" w:rsidRPr="00981063" w:rsidRDefault="00C26092" w:rsidP="003A053F"/>
        </w:tc>
        <w:tc>
          <w:tcPr>
            <w:tcW w:w="1294" w:type="dxa"/>
            <w:shd w:val="clear" w:color="auto" w:fill="auto"/>
            <w:noWrap/>
          </w:tcPr>
          <w:p w14:paraId="3BC7876E" w14:textId="77777777" w:rsidR="00C26092" w:rsidRPr="00981063" w:rsidRDefault="00C26092" w:rsidP="003A053F"/>
        </w:tc>
        <w:tc>
          <w:tcPr>
            <w:tcW w:w="5651" w:type="dxa"/>
            <w:shd w:val="clear" w:color="auto" w:fill="auto"/>
            <w:noWrap/>
          </w:tcPr>
          <w:p w14:paraId="70A34E84" w14:textId="77777777" w:rsidR="00C26092" w:rsidRPr="00D740A6" w:rsidRDefault="00C26092" w:rsidP="003A053F">
            <w:pPr>
              <w:rPr>
                <w:shd w:val="clear" w:color="auto" w:fill="E7E6E6"/>
              </w:rPr>
            </w:pPr>
          </w:p>
        </w:tc>
      </w:tr>
      <w:tr w:rsidR="00C26092" w:rsidRPr="00AF0DB5" w14:paraId="59A76731" w14:textId="77777777" w:rsidTr="000C6CE8">
        <w:trPr>
          <w:trHeight w:val="300"/>
        </w:trPr>
        <w:tc>
          <w:tcPr>
            <w:tcW w:w="1068" w:type="dxa"/>
            <w:shd w:val="clear" w:color="auto" w:fill="auto"/>
          </w:tcPr>
          <w:p w14:paraId="0368F9AA" w14:textId="77777777" w:rsidR="00C26092" w:rsidRPr="00981063" w:rsidRDefault="00C26092" w:rsidP="003A053F"/>
        </w:tc>
        <w:tc>
          <w:tcPr>
            <w:tcW w:w="917" w:type="dxa"/>
            <w:shd w:val="clear" w:color="auto" w:fill="auto"/>
            <w:noWrap/>
          </w:tcPr>
          <w:p w14:paraId="6D3E95DE" w14:textId="77777777" w:rsidR="00C26092" w:rsidRPr="00981063" w:rsidRDefault="00C26092" w:rsidP="003A053F"/>
        </w:tc>
        <w:tc>
          <w:tcPr>
            <w:tcW w:w="1701" w:type="dxa"/>
            <w:shd w:val="clear" w:color="auto" w:fill="auto"/>
            <w:noWrap/>
          </w:tcPr>
          <w:p w14:paraId="15085ECF" w14:textId="77777777" w:rsidR="00C26092" w:rsidRPr="00981063" w:rsidRDefault="00C26092" w:rsidP="003A053F"/>
        </w:tc>
        <w:tc>
          <w:tcPr>
            <w:tcW w:w="4962" w:type="dxa"/>
            <w:shd w:val="clear" w:color="auto" w:fill="auto"/>
            <w:noWrap/>
          </w:tcPr>
          <w:p w14:paraId="7D29FA18" w14:textId="77777777" w:rsidR="00C26092" w:rsidRPr="00981063" w:rsidRDefault="00C26092" w:rsidP="003A053F"/>
        </w:tc>
        <w:tc>
          <w:tcPr>
            <w:tcW w:w="1294" w:type="dxa"/>
            <w:shd w:val="clear" w:color="auto" w:fill="auto"/>
            <w:noWrap/>
          </w:tcPr>
          <w:p w14:paraId="4E6C7530" w14:textId="77777777" w:rsidR="00C26092" w:rsidRPr="00981063" w:rsidRDefault="00C26092" w:rsidP="003A053F"/>
        </w:tc>
        <w:tc>
          <w:tcPr>
            <w:tcW w:w="5651" w:type="dxa"/>
            <w:shd w:val="clear" w:color="auto" w:fill="auto"/>
            <w:noWrap/>
          </w:tcPr>
          <w:p w14:paraId="31D87FB1" w14:textId="77777777" w:rsidR="00C26092" w:rsidRPr="00D740A6" w:rsidRDefault="00C26092" w:rsidP="003A053F">
            <w:pPr>
              <w:rPr>
                <w:shd w:val="clear" w:color="auto" w:fill="E7E6E6"/>
              </w:rPr>
            </w:pPr>
          </w:p>
        </w:tc>
      </w:tr>
      <w:tr w:rsidR="00C26092" w:rsidRPr="00AF0DB5" w14:paraId="3ADBEAD3" w14:textId="77777777" w:rsidTr="000C6CE8">
        <w:trPr>
          <w:trHeight w:val="300"/>
        </w:trPr>
        <w:tc>
          <w:tcPr>
            <w:tcW w:w="1068" w:type="dxa"/>
            <w:shd w:val="clear" w:color="auto" w:fill="auto"/>
          </w:tcPr>
          <w:p w14:paraId="062E9DFE" w14:textId="77777777" w:rsidR="00C26092" w:rsidRPr="00981063" w:rsidRDefault="00C26092" w:rsidP="003A053F"/>
        </w:tc>
        <w:tc>
          <w:tcPr>
            <w:tcW w:w="917" w:type="dxa"/>
            <w:shd w:val="clear" w:color="auto" w:fill="auto"/>
            <w:noWrap/>
          </w:tcPr>
          <w:p w14:paraId="456FCEEC" w14:textId="77777777" w:rsidR="00C26092" w:rsidRPr="00981063" w:rsidRDefault="00C26092" w:rsidP="003A053F"/>
        </w:tc>
        <w:tc>
          <w:tcPr>
            <w:tcW w:w="1701" w:type="dxa"/>
            <w:shd w:val="clear" w:color="auto" w:fill="auto"/>
            <w:noWrap/>
          </w:tcPr>
          <w:p w14:paraId="6D620FAB" w14:textId="77777777" w:rsidR="00C26092" w:rsidRPr="00981063" w:rsidRDefault="00C26092" w:rsidP="003A053F"/>
        </w:tc>
        <w:tc>
          <w:tcPr>
            <w:tcW w:w="4962" w:type="dxa"/>
            <w:shd w:val="clear" w:color="auto" w:fill="auto"/>
            <w:noWrap/>
          </w:tcPr>
          <w:p w14:paraId="66000E73" w14:textId="77777777" w:rsidR="00C26092" w:rsidRPr="00981063" w:rsidRDefault="00C26092" w:rsidP="003A053F"/>
        </w:tc>
        <w:tc>
          <w:tcPr>
            <w:tcW w:w="1294" w:type="dxa"/>
            <w:shd w:val="clear" w:color="auto" w:fill="auto"/>
            <w:noWrap/>
          </w:tcPr>
          <w:p w14:paraId="2B375162" w14:textId="77777777" w:rsidR="00C26092" w:rsidRPr="00981063" w:rsidRDefault="00C26092" w:rsidP="003A053F"/>
        </w:tc>
        <w:tc>
          <w:tcPr>
            <w:tcW w:w="5651" w:type="dxa"/>
            <w:shd w:val="clear" w:color="auto" w:fill="auto"/>
            <w:noWrap/>
          </w:tcPr>
          <w:p w14:paraId="0439DCE5" w14:textId="77777777" w:rsidR="00C26092" w:rsidRPr="00D740A6" w:rsidRDefault="00C26092" w:rsidP="003A053F">
            <w:pPr>
              <w:rPr>
                <w:shd w:val="clear" w:color="auto" w:fill="E7E6E6"/>
              </w:rPr>
            </w:pPr>
          </w:p>
        </w:tc>
      </w:tr>
      <w:tr w:rsidR="00C26092" w:rsidRPr="00AF0DB5" w14:paraId="66F9006E" w14:textId="77777777" w:rsidTr="000C6CE8">
        <w:trPr>
          <w:trHeight w:val="300"/>
        </w:trPr>
        <w:tc>
          <w:tcPr>
            <w:tcW w:w="1068" w:type="dxa"/>
            <w:shd w:val="clear" w:color="auto" w:fill="auto"/>
          </w:tcPr>
          <w:p w14:paraId="21CC6BE2" w14:textId="77777777" w:rsidR="00C26092" w:rsidRPr="00981063" w:rsidRDefault="00C26092" w:rsidP="003A053F"/>
        </w:tc>
        <w:tc>
          <w:tcPr>
            <w:tcW w:w="917" w:type="dxa"/>
            <w:shd w:val="clear" w:color="auto" w:fill="auto"/>
            <w:noWrap/>
          </w:tcPr>
          <w:p w14:paraId="3A537EAA" w14:textId="77777777" w:rsidR="00C26092" w:rsidRPr="00981063" w:rsidRDefault="00C26092" w:rsidP="003A053F"/>
        </w:tc>
        <w:tc>
          <w:tcPr>
            <w:tcW w:w="1701" w:type="dxa"/>
            <w:shd w:val="clear" w:color="auto" w:fill="auto"/>
            <w:noWrap/>
          </w:tcPr>
          <w:p w14:paraId="302F1720" w14:textId="77777777" w:rsidR="00C26092" w:rsidRPr="00981063" w:rsidRDefault="00C26092" w:rsidP="003A053F"/>
        </w:tc>
        <w:tc>
          <w:tcPr>
            <w:tcW w:w="4962" w:type="dxa"/>
            <w:shd w:val="clear" w:color="auto" w:fill="auto"/>
            <w:noWrap/>
          </w:tcPr>
          <w:p w14:paraId="1996F886" w14:textId="77777777" w:rsidR="00C26092" w:rsidRPr="00981063" w:rsidRDefault="00C26092" w:rsidP="003A053F"/>
        </w:tc>
        <w:tc>
          <w:tcPr>
            <w:tcW w:w="1294" w:type="dxa"/>
            <w:shd w:val="clear" w:color="auto" w:fill="auto"/>
            <w:noWrap/>
          </w:tcPr>
          <w:p w14:paraId="4FC8F49C" w14:textId="77777777" w:rsidR="00C26092" w:rsidRPr="00981063" w:rsidRDefault="00C26092" w:rsidP="003A053F"/>
        </w:tc>
        <w:tc>
          <w:tcPr>
            <w:tcW w:w="5651" w:type="dxa"/>
            <w:shd w:val="clear" w:color="auto" w:fill="auto"/>
            <w:noWrap/>
          </w:tcPr>
          <w:p w14:paraId="6B5CECE5" w14:textId="77777777" w:rsidR="00C26092" w:rsidRPr="00D740A6" w:rsidRDefault="00C26092" w:rsidP="003A053F">
            <w:pPr>
              <w:rPr>
                <w:shd w:val="clear" w:color="auto" w:fill="E7E6E6"/>
              </w:rPr>
            </w:pPr>
          </w:p>
        </w:tc>
      </w:tr>
      <w:tr w:rsidR="00C26092" w:rsidRPr="00AF0DB5" w14:paraId="36E30D25" w14:textId="77777777" w:rsidTr="000C6CE8">
        <w:trPr>
          <w:trHeight w:val="300"/>
        </w:trPr>
        <w:tc>
          <w:tcPr>
            <w:tcW w:w="1068" w:type="dxa"/>
            <w:shd w:val="clear" w:color="auto" w:fill="auto"/>
          </w:tcPr>
          <w:p w14:paraId="799263E2" w14:textId="77777777" w:rsidR="00C26092" w:rsidRPr="00981063" w:rsidRDefault="00C26092" w:rsidP="003A053F"/>
        </w:tc>
        <w:tc>
          <w:tcPr>
            <w:tcW w:w="917" w:type="dxa"/>
            <w:shd w:val="clear" w:color="auto" w:fill="auto"/>
            <w:noWrap/>
          </w:tcPr>
          <w:p w14:paraId="000ED2D6" w14:textId="77777777" w:rsidR="00C26092" w:rsidRPr="00981063" w:rsidRDefault="00C26092" w:rsidP="003A053F"/>
        </w:tc>
        <w:tc>
          <w:tcPr>
            <w:tcW w:w="1701" w:type="dxa"/>
            <w:shd w:val="clear" w:color="auto" w:fill="auto"/>
            <w:noWrap/>
          </w:tcPr>
          <w:p w14:paraId="53BB076D" w14:textId="77777777" w:rsidR="00C26092" w:rsidRPr="00981063" w:rsidRDefault="00C26092" w:rsidP="003A053F"/>
        </w:tc>
        <w:tc>
          <w:tcPr>
            <w:tcW w:w="4962" w:type="dxa"/>
            <w:shd w:val="clear" w:color="auto" w:fill="auto"/>
            <w:noWrap/>
          </w:tcPr>
          <w:p w14:paraId="4918B677" w14:textId="77777777" w:rsidR="00C26092" w:rsidRPr="00981063" w:rsidRDefault="00C26092" w:rsidP="003A053F"/>
        </w:tc>
        <w:tc>
          <w:tcPr>
            <w:tcW w:w="1294" w:type="dxa"/>
            <w:shd w:val="clear" w:color="auto" w:fill="auto"/>
            <w:noWrap/>
          </w:tcPr>
          <w:p w14:paraId="541CE0DA" w14:textId="77777777" w:rsidR="00C26092" w:rsidRPr="00981063" w:rsidRDefault="00C26092" w:rsidP="003A053F"/>
        </w:tc>
        <w:tc>
          <w:tcPr>
            <w:tcW w:w="5651" w:type="dxa"/>
            <w:shd w:val="clear" w:color="auto" w:fill="auto"/>
            <w:noWrap/>
          </w:tcPr>
          <w:p w14:paraId="72EADB11" w14:textId="77777777" w:rsidR="00C26092" w:rsidRPr="00D740A6" w:rsidRDefault="00C26092" w:rsidP="003A053F">
            <w:pPr>
              <w:rPr>
                <w:shd w:val="clear" w:color="auto" w:fill="E7E6E6"/>
              </w:rPr>
            </w:pPr>
          </w:p>
        </w:tc>
      </w:tr>
    </w:tbl>
    <w:p w14:paraId="3F7C028F"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980F" w14:textId="77777777" w:rsidR="00FE72CD" w:rsidRDefault="00FE72CD" w:rsidP="003A053F">
      <w:r>
        <w:separator/>
      </w:r>
    </w:p>
  </w:endnote>
  <w:endnote w:type="continuationSeparator" w:id="0">
    <w:p w14:paraId="07390809" w14:textId="77777777" w:rsidR="00FE72CD" w:rsidRDefault="00FE72CD"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7E75" w14:textId="0FA10ECC" w:rsidR="00CC5C74" w:rsidRDefault="00FE72CD" w:rsidP="003A053F">
    <w:pPr>
      <w:pStyle w:val="Footer"/>
    </w:pPr>
    <w:r>
      <w:fldChar w:fldCharType="begin"/>
    </w:r>
    <w:r>
      <w:instrText xml:space="preserve"> FILENAME </w:instrText>
    </w:r>
    <w:r>
      <w:fldChar w:fldCharType="separate"/>
    </w:r>
    <w:r w:rsidR="00837CE5">
      <w:rPr>
        <w:noProof/>
      </w:rPr>
      <w:t>CR1274_EPC_ExtServiceLevelCodeSet_v2.docx</w:t>
    </w:r>
    <w:r>
      <w:rPr>
        <w:noProof/>
      </w:rPr>
      <w:fldChar w:fldCharType="end"/>
    </w:r>
    <w:r w:rsidR="005C420B">
      <w:t xml:space="preserve">   </w:t>
    </w:r>
    <w:r w:rsidR="00AF0DB5">
      <w:tab/>
    </w:r>
    <w:r w:rsidR="00CC5C74">
      <w:t xml:space="preserve">Produced by </w:t>
    </w:r>
    <w:r w:rsidR="00FB32C8">
      <w:rPr>
        <w:i/>
        <w:shd w:val="clear" w:color="auto" w:fill="E7E6E6"/>
      </w:rPr>
      <w:t>EPC</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6FDB" w14:textId="77777777" w:rsidR="00FE72CD" w:rsidRDefault="00FE72CD" w:rsidP="003A053F">
      <w:r>
        <w:separator/>
      </w:r>
    </w:p>
  </w:footnote>
  <w:footnote w:type="continuationSeparator" w:id="0">
    <w:p w14:paraId="7D60B919" w14:textId="77777777" w:rsidR="00FE72CD" w:rsidRDefault="00FE72CD"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FA86" w14:textId="707F7D4A" w:rsidR="00442581" w:rsidRPr="000C6CE8" w:rsidRDefault="000C6CE8" w:rsidP="003A053F">
    <w:pPr>
      <w:pStyle w:val="Header"/>
      <w:rPr>
        <w:lang w:val="en-GB"/>
      </w:rPr>
    </w:pPr>
    <w:r>
      <w:rPr>
        <w:lang w:val="en-GB"/>
      </w:rPr>
      <w:t>RA ID: CR1274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632932">
    <w:abstractNumId w:val="2"/>
  </w:num>
  <w:num w:numId="2" w16cid:durableId="2017420036">
    <w:abstractNumId w:val="0"/>
  </w:num>
  <w:num w:numId="3" w16cid:durableId="1583181587">
    <w:abstractNumId w:val="1"/>
  </w:num>
  <w:num w:numId="4" w16cid:durableId="808281594">
    <w:abstractNumId w:val="3"/>
  </w:num>
  <w:num w:numId="5" w16cid:durableId="1076705354">
    <w:abstractNumId w:val="24"/>
  </w:num>
  <w:num w:numId="6" w16cid:durableId="524682068">
    <w:abstractNumId w:val="13"/>
  </w:num>
  <w:num w:numId="7" w16cid:durableId="1681353477">
    <w:abstractNumId w:val="17"/>
  </w:num>
  <w:num w:numId="8" w16cid:durableId="1333022540">
    <w:abstractNumId w:val="14"/>
  </w:num>
  <w:num w:numId="9" w16cid:durableId="319969261">
    <w:abstractNumId w:val="23"/>
  </w:num>
  <w:num w:numId="10" w16cid:durableId="1044990119">
    <w:abstractNumId w:val="5"/>
  </w:num>
  <w:num w:numId="11" w16cid:durableId="1476484275">
    <w:abstractNumId w:val="10"/>
  </w:num>
  <w:num w:numId="12" w16cid:durableId="80613893">
    <w:abstractNumId w:val="15"/>
  </w:num>
  <w:num w:numId="13" w16cid:durableId="2073960758">
    <w:abstractNumId w:val="4"/>
  </w:num>
  <w:num w:numId="14" w16cid:durableId="694036944">
    <w:abstractNumId w:val="9"/>
  </w:num>
  <w:num w:numId="15" w16cid:durableId="153227892">
    <w:abstractNumId w:val="19"/>
  </w:num>
  <w:num w:numId="16" w16cid:durableId="1835802816">
    <w:abstractNumId w:val="18"/>
  </w:num>
  <w:num w:numId="17" w16cid:durableId="1118988974">
    <w:abstractNumId w:val="7"/>
  </w:num>
  <w:num w:numId="18" w16cid:durableId="1928885697">
    <w:abstractNumId w:val="25"/>
  </w:num>
  <w:num w:numId="19" w16cid:durableId="1545941203">
    <w:abstractNumId w:val="6"/>
  </w:num>
  <w:num w:numId="20" w16cid:durableId="1329017043">
    <w:abstractNumId w:val="21"/>
  </w:num>
  <w:num w:numId="21" w16cid:durableId="1195775338">
    <w:abstractNumId w:val="27"/>
  </w:num>
  <w:num w:numId="22" w16cid:durableId="1365251166">
    <w:abstractNumId w:val="26"/>
  </w:num>
  <w:num w:numId="23" w16cid:durableId="1819414179">
    <w:abstractNumId w:val="12"/>
  </w:num>
  <w:num w:numId="24" w16cid:durableId="911348969">
    <w:abstractNumId w:val="22"/>
  </w:num>
  <w:num w:numId="25" w16cid:durableId="2028943688">
    <w:abstractNumId w:val="11"/>
  </w:num>
  <w:num w:numId="26" w16cid:durableId="462501097">
    <w:abstractNumId w:val="8"/>
  </w:num>
  <w:num w:numId="27" w16cid:durableId="863909043">
    <w:abstractNumId w:val="16"/>
  </w:num>
  <w:num w:numId="28" w16cid:durableId="18567978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8523E"/>
    <w:rsid w:val="000A172E"/>
    <w:rsid w:val="000A20E4"/>
    <w:rsid w:val="000A3B4B"/>
    <w:rsid w:val="000B65C7"/>
    <w:rsid w:val="000C015D"/>
    <w:rsid w:val="000C6CE8"/>
    <w:rsid w:val="000E2471"/>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643DC"/>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92693"/>
    <w:rsid w:val="007B3927"/>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37CE5"/>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79BF"/>
    <w:rsid w:val="00937D26"/>
    <w:rsid w:val="00942150"/>
    <w:rsid w:val="00951C86"/>
    <w:rsid w:val="00956D7A"/>
    <w:rsid w:val="00966046"/>
    <w:rsid w:val="009770EE"/>
    <w:rsid w:val="00981063"/>
    <w:rsid w:val="009C1445"/>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C06496"/>
    <w:rsid w:val="00C122AE"/>
    <w:rsid w:val="00C17665"/>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32C8"/>
    <w:rsid w:val="00FB56E2"/>
    <w:rsid w:val="00FC5011"/>
    <w:rsid w:val="00FD0B96"/>
    <w:rsid w:val="00FD54A5"/>
    <w:rsid w:val="00FD58BE"/>
    <w:rsid w:val="00FD6FDC"/>
    <w:rsid w:val="00FE6405"/>
    <w:rsid w:val="00FE72CD"/>
    <w:rsid w:val="00FF7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9A78EE"/>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so20022.org/external_code_list.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6</Pages>
  <Words>854</Words>
  <Characters>4675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5518</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6</cp:revision>
  <cp:lastPrinted>2009-03-10T11:18:00Z</cp:lastPrinted>
  <dcterms:created xsi:type="dcterms:W3CDTF">2023-04-06T07:59:00Z</dcterms:created>
  <dcterms:modified xsi:type="dcterms:W3CDTF">2023-05-17T15:13:00Z</dcterms:modified>
</cp:coreProperties>
</file>