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CA10" w14:textId="77777777" w:rsidR="00865C2F" w:rsidRPr="00865C2F" w:rsidRDefault="00DD37B4" w:rsidP="00865C2F">
      <w:pPr>
        <w:jc w:val="center"/>
        <w:rPr>
          <w:b/>
          <w:smallCaps/>
          <w:szCs w:val="24"/>
          <w:lang w:val="en-GB"/>
        </w:rPr>
      </w:pPr>
      <w:r>
        <w:rPr>
          <w:b/>
          <w:smallCaps/>
          <w:szCs w:val="24"/>
          <w:lang w:val="en-GB"/>
        </w:rPr>
        <w:t>Change Request</w:t>
      </w:r>
    </w:p>
    <w:p w14:paraId="42659B95"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4F0E7FD1"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A4A42D9"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9C3E09A" w14:textId="77777777" w:rsidR="00EF00CD" w:rsidRDefault="008438AF" w:rsidP="008438AF">
      <w:pPr>
        <w:rPr>
          <w:szCs w:val="24"/>
          <w:lang w:val="en-GB"/>
        </w:rPr>
      </w:pPr>
      <w:r w:rsidRPr="008438AF">
        <w:rPr>
          <w:i/>
          <w:szCs w:val="24"/>
          <w:lang w:val="en-GB"/>
        </w:rPr>
        <w:t>A.1 Submitter</w:t>
      </w:r>
      <w:r>
        <w:rPr>
          <w:szCs w:val="24"/>
          <w:lang w:val="en-GB"/>
        </w:rPr>
        <w:t>:</w:t>
      </w:r>
    </w:p>
    <w:p w14:paraId="0DF37B71" w14:textId="64DA4EA6" w:rsidR="000408BA" w:rsidRDefault="00EF00CD" w:rsidP="008438AF">
      <w:pPr>
        <w:rPr>
          <w:szCs w:val="24"/>
          <w:lang w:val="en-GB"/>
        </w:rPr>
      </w:pPr>
      <w:r>
        <w:rPr>
          <w:szCs w:val="24"/>
          <w:lang w:val="en-GB"/>
        </w:rPr>
        <w:t>SIX Interbank Clearing Ltd.</w:t>
      </w:r>
      <w:r w:rsidR="008438AF">
        <w:rPr>
          <w:szCs w:val="24"/>
          <w:lang w:val="en-GB"/>
        </w:rPr>
        <w:t xml:space="preserve"> </w:t>
      </w:r>
    </w:p>
    <w:p w14:paraId="237EF225" w14:textId="77777777" w:rsidR="00EF00CD"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50D35439" w14:textId="666ED195" w:rsidR="008438AF" w:rsidRPr="00EF00CD" w:rsidRDefault="00EF00CD" w:rsidP="008438AF">
      <w:pPr>
        <w:rPr>
          <w:szCs w:val="24"/>
          <w:lang w:val="sv-SE"/>
        </w:rPr>
      </w:pPr>
      <w:r w:rsidRPr="00EF00CD">
        <w:rPr>
          <w:szCs w:val="24"/>
          <w:lang w:val="sv-SE"/>
        </w:rPr>
        <w:t>Martin Walder</w:t>
      </w:r>
      <w:r w:rsidRPr="00EF00CD">
        <w:rPr>
          <w:szCs w:val="24"/>
          <w:lang w:val="sv-SE"/>
        </w:rPr>
        <w:br/>
      </w:r>
      <w:hyperlink r:id="rId10" w:history="1">
        <w:r w:rsidRPr="00752F03">
          <w:rPr>
            <w:rStyle w:val="Hyperlink"/>
            <w:szCs w:val="24"/>
            <w:lang w:val="sv-SE"/>
          </w:rPr>
          <w:t>martin.walder@six-group.com</w:t>
        </w:r>
      </w:hyperlink>
      <w:r>
        <w:rPr>
          <w:szCs w:val="24"/>
          <w:lang w:val="sv-SE"/>
        </w:rPr>
        <w:br/>
      </w:r>
      <w:r w:rsidRPr="00EF00CD">
        <w:rPr>
          <w:szCs w:val="24"/>
          <w:lang w:val="sv-SE"/>
        </w:rPr>
        <w:t>T +41 58 399 53 79</w:t>
      </w:r>
    </w:p>
    <w:p w14:paraId="5652F50F" w14:textId="11A2A54B" w:rsidR="00577BCC" w:rsidRDefault="008438AF" w:rsidP="008438AF">
      <w:pPr>
        <w:rPr>
          <w:szCs w:val="24"/>
          <w:lang w:val="en-GB"/>
        </w:rPr>
      </w:pPr>
      <w:r w:rsidRPr="006639E4">
        <w:rPr>
          <w:i/>
          <w:szCs w:val="24"/>
          <w:lang w:val="sv-S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F00CD">
        <w:rPr>
          <w:szCs w:val="24"/>
          <w:lang w:val="en-GB"/>
        </w:rPr>
        <w:t>SIX Interbank Clearing is involved in several committees focused on questions of standardization concerning the national and international payment traffic. In this role SIX Interbank Clearing acts as a representative of the Swiss financial industry.</w:t>
      </w:r>
      <w:r w:rsidR="00EF00CD">
        <w:rPr>
          <w:szCs w:val="24"/>
          <w:lang w:val="en-GB"/>
        </w:rPr>
        <w:br/>
        <w:t>This change was discussed with the WG responsible for the bank-to-client interfaces.</w:t>
      </w:r>
    </w:p>
    <w:p w14:paraId="47901EEF" w14:textId="77777777" w:rsidR="00854FA6" w:rsidRDefault="00854FA6" w:rsidP="00854FA6">
      <w:pPr>
        <w:numPr>
          <w:ilvl w:val="0"/>
          <w:numId w:val="6"/>
        </w:numPr>
        <w:rPr>
          <w:b/>
          <w:lang w:val="en-GB"/>
        </w:rPr>
      </w:pPr>
      <w:r>
        <w:rPr>
          <w:b/>
          <w:lang w:val="en-GB"/>
        </w:rPr>
        <w:t>Related m</w:t>
      </w:r>
      <w:r w:rsidRPr="00451986">
        <w:rPr>
          <w:b/>
          <w:lang w:val="en-GB"/>
        </w:rPr>
        <w:t>essages:</w:t>
      </w:r>
    </w:p>
    <w:p w14:paraId="2DA57833" w14:textId="08CDC33B" w:rsidR="00854FA6" w:rsidRDefault="00EF00CD" w:rsidP="00854FA6">
      <w:pPr>
        <w:rPr>
          <w:bCs/>
          <w:lang w:val="en-GB"/>
        </w:rPr>
      </w:pPr>
      <w:r w:rsidRPr="00EF00CD">
        <w:rPr>
          <w:bCs/>
          <w:lang w:val="en-GB"/>
        </w:rPr>
        <w:t>camt.053</w:t>
      </w:r>
      <w:r w:rsidRPr="00EF00CD">
        <w:rPr>
          <w:bCs/>
          <w:lang w:val="en-GB"/>
        </w:rPr>
        <w:br/>
        <w:t>camt.052</w:t>
      </w:r>
      <w:r w:rsidRPr="00EF00CD">
        <w:rPr>
          <w:bCs/>
          <w:lang w:val="en-GB"/>
        </w:rPr>
        <w:br/>
        <w:t>camt.054</w:t>
      </w:r>
      <w:r>
        <w:rPr>
          <w:bCs/>
          <w:lang w:val="en-GB"/>
        </w:rPr>
        <w:br/>
      </w:r>
      <w:r>
        <w:rPr>
          <w:bCs/>
          <w:lang w:val="en-GB"/>
        </w:rPr>
        <w:br/>
        <w:t>There might be other message, for which the change is useful as well.</w:t>
      </w:r>
    </w:p>
    <w:p w14:paraId="58C75D90" w14:textId="735D40D1" w:rsidR="00A74345" w:rsidRDefault="00A74345" w:rsidP="00854FA6">
      <w:pPr>
        <w:rPr>
          <w:bCs/>
          <w:lang w:val="en-GB"/>
        </w:rPr>
      </w:pPr>
    </w:p>
    <w:p w14:paraId="5B8C7428" w14:textId="36510177" w:rsidR="00A74345" w:rsidRDefault="00A74345" w:rsidP="00854FA6">
      <w:pPr>
        <w:rPr>
          <w:bCs/>
          <w:lang w:val="en-GB"/>
        </w:rPr>
      </w:pPr>
    </w:p>
    <w:p w14:paraId="5CB21163" w14:textId="3651F708" w:rsidR="00A74345" w:rsidRDefault="00A74345" w:rsidP="00854FA6">
      <w:pPr>
        <w:rPr>
          <w:bCs/>
          <w:lang w:val="en-GB"/>
        </w:rPr>
      </w:pPr>
    </w:p>
    <w:p w14:paraId="017EAF3F" w14:textId="7415C658" w:rsidR="00A74345" w:rsidRDefault="00A74345" w:rsidP="00854FA6">
      <w:pPr>
        <w:rPr>
          <w:bCs/>
          <w:lang w:val="en-GB"/>
        </w:rPr>
      </w:pPr>
    </w:p>
    <w:p w14:paraId="02672299" w14:textId="49A6F391" w:rsidR="00A74345" w:rsidRDefault="00A74345" w:rsidP="00854FA6">
      <w:pPr>
        <w:rPr>
          <w:bCs/>
          <w:lang w:val="en-GB"/>
        </w:rPr>
      </w:pPr>
    </w:p>
    <w:p w14:paraId="24DACD0F" w14:textId="78F97896" w:rsidR="00A74345" w:rsidRDefault="00A74345" w:rsidP="00854FA6">
      <w:pPr>
        <w:rPr>
          <w:bCs/>
          <w:lang w:val="en-GB"/>
        </w:rPr>
      </w:pPr>
    </w:p>
    <w:p w14:paraId="1593FEEB" w14:textId="69A72A8D" w:rsidR="00A74345" w:rsidRDefault="00A74345" w:rsidP="00854FA6">
      <w:pPr>
        <w:rPr>
          <w:bCs/>
          <w:lang w:val="en-GB"/>
        </w:rPr>
      </w:pPr>
    </w:p>
    <w:p w14:paraId="4D18515E" w14:textId="38F65D70" w:rsidR="00A74345" w:rsidRDefault="00A74345" w:rsidP="00854FA6">
      <w:pPr>
        <w:rPr>
          <w:bCs/>
          <w:lang w:val="en-GB"/>
        </w:rPr>
      </w:pPr>
    </w:p>
    <w:p w14:paraId="5E6B66CE" w14:textId="77777777" w:rsidR="00A74345" w:rsidRPr="00EF00CD" w:rsidRDefault="00A74345" w:rsidP="00854FA6">
      <w:pPr>
        <w:rPr>
          <w:bCs/>
          <w:lang w:val="en-GB"/>
        </w:rPr>
      </w:pPr>
    </w:p>
    <w:p w14:paraId="4000FBB1" w14:textId="77777777" w:rsidR="00854FA6" w:rsidRDefault="006D4A37" w:rsidP="00854FA6">
      <w:pPr>
        <w:numPr>
          <w:ilvl w:val="0"/>
          <w:numId w:val="6"/>
        </w:numPr>
        <w:rPr>
          <w:lang w:val="en-GB"/>
        </w:rPr>
      </w:pPr>
      <w:r>
        <w:rPr>
          <w:b/>
          <w:lang w:val="en-GB"/>
        </w:rPr>
        <w:lastRenderedPageBreak/>
        <w:t>Description of the change request:</w:t>
      </w:r>
    </w:p>
    <w:p w14:paraId="31069341" w14:textId="6475828B" w:rsidR="000408BA" w:rsidRDefault="00EF00CD" w:rsidP="000408BA">
      <w:pPr>
        <w:rPr>
          <w:lang w:val="en-GB"/>
        </w:rPr>
      </w:pPr>
      <w:r>
        <w:rPr>
          <w:lang w:val="en-GB"/>
        </w:rPr>
        <w:t>Add a</w:t>
      </w:r>
      <w:r w:rsidR="00E253BC">
        <w:rPr>
          <w:lang w:val="en-GB"/>
        </w:rPr>
        <w:t>n</w:t>
      </w:r>
      <w:r>
        <w:rPr>
          <w:lang w:val="en-GB"/>
        </w:rPr>
        <w:t xml:space="preserve"> </w:t>
      </w:r>
      <w:r w:rsidR="00161424">
        <w:rPr>
          <w:lang w:val="en-GB"/>
        </w:rPr>
        <w:t>opt</w:t>
      </w:r>
      <w:r w:rsidR="006639E4">
        <w:rPr>
          <w:lang w:val="en-GB"/>
        </w:rPr>
        <w:t xml:space="preserve">ional </w:t>
      </w:r>
      <w:r>
        <w:rPr>
          <w:lang w:val="en-GB"/>
        </w:rPr>
        <w:t xml:space="preserve">element “Exchange Base” in the Currency Exchange </w:t>
      </w:r>
      <w:r w:rsidR="00161424">
        <w:rPr>
          <w:lang w:val="en-GB"/>
        </w:rPr>
        <w:t>set of elements.</w:t>
      </w:r>
      <w:r w:rsidR="00161424" w:rsidRPr="00161424">
        <w:rPr>
          <w:noProof/>
          <w:szCs w:val="24"/>
          <w:lang w:val="en-GB"/>
        </w:rPr>
        <w:t xml:space="preserve"> </w:t>
      </w:r>
      <w:r w:rsidR="00C96721" w:rsidRPr="00161424">
        <w:rPr>
          <w:noProof/>
          <w:szCs w:val="24"/>
          <w:lang w:val="en-GB"/>
        </w:rPr>
        <w:drawing>
          <wp:inline distT="0" distB="0" distL="0" distR="0" wp14:anchorId="2B5FB96A" wp14:editId="3249BC9C">
            <wp:extent cx="1739900" cy="197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900" cy="1974850"/>
                    </a:xfrm>
                    <a:prstGeom prst="rect">
                      <a:avLst/>
                    </a:prstGeom>
                    <a:noFill/>
                    <a:ln>
                      <a:noFill/>
                    </a:ln>
                  </pic:spPr>
                </pic:pic>
              </a:graphicData>
            </a:graphic>
          </wp:inline>
        </w:drawing>
      </w:r>
    </w:p>
    <w:p w14:paraId="644BEF94" w14:textId="0525E01D"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4A0041CC" w14:textId="4C15444E" w:rsidR="00465D85" w:rsidRDefault="00605ABF" w:rsidP="00801B4C">
      <w:pPr>
        <w:rPr>
          <w:lang w:val="en-GB"/>
        </w:rPr>
      </w:pPr>
      <w:r>
        <w:rPr>
          <w:lang w:val="en-GB"/>
        </w:rPr>
        <w:t>Although</w:t>
      </w:r>
      <w:r w:rsidR="00801B4C">
        <w:rPr>
          <w:lang w:val="en-GB"/>
        </w:rPr>
        <w:t xml:space="preserve"> the element </w:t>
      </w:r>
      <w:r w:rsidR="00801B4C" w:rsidRPr="00801B4C">
        <w:rPr>
          <w:lang w:val="en-GB"/>
        </w:rPr>
        <w:t>ExchangeRate &lt;XchgRate&gt;</w:t>
      </w:r>
      <w:r w:rsidR="00801B4C">
        <w:rPr>
          <w:lang w:val="en-GB"/>
        </w:rPr>
        <w:t xml:space="preserve"> is defined as f</w:t>
      </w:r>
      <w:r w:rsidR="00801B4C" w:rsidRPr="00801B4C">
        <w:rPr>
          <w:lang w:val="en-GB"/>
        </w:rPr>
        <w:t>actor used to convert an amount from one currency into another</w:t>
      </w:r>
      <w:r w:rsidR="00801B4C">
        <w:rPr>
          <w:lang w:val="en-GB"/>
        </w:rPr>
        <w:t xml:space="preserve">, many markets are still using in addition different bases. </w:t>
      </w:r>
    </w:p>
    <w:p w14:paraId="13F6685E" w14:textId="77777777" w:rsidR="007463B5" w:rsidRDefault="007463B5" w:rsidP="00291B0B">
      <w:pPr>
        <w:rPr>
          <w:lang w:val="en-GB"/>
        </w:rPr>
      </w:pPr>
      <w:r w:rsidRPr="007463B5">
        <w:rPr>
          <w:lang w:val="en-GB"/>
        </w:rPr>
        <w:t xml:space="preserve">For internationally operating corporate clients, it creates problems and can lead to errors if it is not possible to extract from the message whether or not a particular exchange base is being used. </w:t>
      </w:r>
    </w:p>
    <w:p w14:paraId="216B96FE" w14:textId="37239213" w:rsidR="00291B0B" w:rsidRDefault="0006566F" w:rsidP="00291B0B">
      <w:pPr>
        <w:rPr>
          <w:lang w:val="en-GB"/>
        </w:rPr>
      </w:pPr>
      <w:r>
        <w:rPr>
          <w:lang w:val="en-GB"/>
        </w:rPr>
        <w:t>The issues is mostly related to reporting</w:t>
      </w:r>
      <w:r w:rsidR="008D1AA7">
        <w:rPr>
          <w:lang w:val="en-GB"/>
        </w:rPr>
        <w:t>, as the following e</w:t>
      </w:r>
      <w:r w:rsidR="00291B0B">
        <w:rPr>
          <w:lang w:val="en-GB"/>
        </w:rPr>
        <w:t>xample of an implementation guideline</w:t>
      </w:r>
      <w:r w:rsidR="008D1AA7">
        <w:rPr>
          <w:lang w:val="en-GB"/>
        </w:rPr>
        <w:t xml:space="preserve"> for camt.053 shows:</w:t>
      </w:r>
    </w:p>
    <w:p w14:paraId="2D55A795" w14:textId="4A0AC1D1" w:rsidR="000E0D37" w:rsidRDefault="000E0D37" w:rsidP="00801B4C">
      <w:pPr>
        <w:rPr>
          <w:lang w:val="en-GB"/>
        </w:rPr>
      </w:pPr>
      <w:r w:rsidRPr="00FE706A">
        <w:rPr>
          <w:noProof/>
          <w:lang w:val="en-GB"/>
        </w:rPr>
        <w:drawing>
          <wp:inline distT="0" distB="0" distL="0" distR="0" wp14:anchorId="19BA3BBB" wp14:editId="5FDCC882">
            <wp:extent cx="5701030" cy="137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1374775"/>
                    </a:xfrm>
                    <a:prstGeom prst="rect">
                      <a:avLst/>
                    </a:prstGeom>
                  </pic:spPr>
                </pic:pic>
              </a:graphicData>
            </a:graphic>
          </wp:inline>
        </w:drawing>
      </w:r>
    </w:p>
    <w:p w14:paraId="056233AF"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559B73A" w14:textId="54AA094A" w:rsidR="00605ABF" w:rsidRDefault="00C718B5" w:rsidP="00F34C66">
      <w:pPr>
        <w:rPr>
          <w:szCs w:val="24"/>
          <w:lang w:val="en-GB"/>
        </w:rPr>
      </w:pPr>
      <w:r>
        <w:rPr>
          <w:szCs w:val="24"/>
          <w:lang w:val="en-GB"/>
        </w:rPr>
        <w:t>There is no specific ti</w:t>
      </w:r>
      <w:r w:rsidR="00605ABF">
        <w:rPr>
          <w:szCs w:val="24"/>
          <w:lang w:val="en-GB"/>
        </w:rPr>
        <w:t>meline for this change request. I can be assumed, that before 2025 our market is not changing the message version. Nevertheless, it may be helpful for other markets, if this option is available within the next cycle.</w:t>
      </w:r>
    </w:p>
    <w:p w14:paraId="1A335186" w14:textId="77777777" w:rsidR="00605ABF" w:rsidRDefault="00605ABF">
      <w:pPr>
        <w:spacing w:before="0"/>
        <w:rPr>
          <w:szCs w:val="24"/>
          <w:lang w:val="en-GB"/>
        </w:rPr>
      </w:pPr>
      <w:r>
        <w:rPr>
          <w:szCs w:val="24"/>
          <w:lang w:val="en-GB"/>
        </w:rPr>
        <w:br w:type="page"/>
      </w:r>
    </w:p>
    <w:p w14:paraId="3DD7223C" w14:textId="77777777" w:rsidR="00783891" w:rsidRDefault="00FF4AEF" w:rsidP="00605ABF">
      <w:pPr>
        <w:rPr>
          <w:szCs w:val="24"/>
          <w:lang w:val="en-GB"/>
        </w:rPr>
      </w:pPr>
      <w:r>
        <w:rPr>
          <w:b/>
          <w:szCs w:val="24"/>
          <w:lang w:val="en-GB"/>
        </w:rPr>
        <w:lastRenderedPageBreak/>
        <w:t>Business examples</w:t>
      </w:r>
      <w:r w:rsidR="00783891">
        <w:rPr>
          <w:b/>
          <w:szCs w:val="24"/>
          <w:lang w:val="en-GB"/>
        </w:rPr>
        <w:t>:</w:t>
      </w:r>
    </w:p>
    <w:p w14:paraId="5F66E5A7" w14:textId="1B5985BB" w:rsidR="00D17C67" w:rsidRPr="00605ABF" w:rsidRDefault="00D17C67" w:rsidP="00C718B5">
      <w:pPr>
        <w:rPr>
          <w:rFonts w:ascii="Arial" w:hAnsi="Arial" w:cs="Arial"/>
          <w:sz w:val="18"/>
          <w:szCs w:val="18"/>
          <w:lang w:val="en-GB"/>
        </w:rPr>
      </w:pPr>
      <w:r w:rsidRPr="00605ABF">
        <w:rPr>
          <w:rFonts w:ascii="Arial" w:hAnsi="Arial" w:cs="Arial"/>
          <w:sz w:val="18"/>
          <w:szCs w:val="18"/>
          <w:lang w:val="en-GB"/>
        </w:rPr>
        <w:t xml:space="preserve">Example </w:t>
      </w:r>
      <w:r w:rsidR="00605ABF">
        <w:rPr>
          <w:rFonts w:ascii="Arial" w:hAnsi="Arial" w:cs="Arial"/>
          <w:sz w:val="18"/>
          <w:szCs w:val="18"/>
          <w:lang w:val="en-GB"/>
        </w:rPr>
        <w:t xml:space="preserve">based on the exchange rate presentation </w:t>
      </w:r>
      <w:r w:rsidRPr="00605ABF">
        <w:rPr>
          <w:rFonts w:ascii="Arial" w:hAnsi="Arial" w:cs="Arial"/>
          <w:sz w:val="18"/>
          <w:szCs w:val="18"/>
          <w:lang w:val="en-GB"/>
        </w:rPr>
        <w:t>of the Swiss National Bank</w:t>
      </w:r>
      <w:r w:rsidR="00E66CF4">
        <w:rPr>
          <w:rFonts w:ascii="Arial" w:hAnsi="Arial" w:cs="Arial"/>
          <w:sz w:val="18"/>
          <w:szCs w:val="18"/>
          <w:lang w:val="en-GB"/>
        </w:rPr>
        <w:t>:</w:t>
      </w:r>
    </w:p>
    <w:tbl>
      <w:tblPr>
        <w:tblW w:w="7200" w:type="dxa"/>
        <w:tblInd w:w="70" w:type="dxa"/>
        <w:tblCellMar>
          <w:left w:w="70" w:type="dxa"/>
          <w:right w:w="70" w:type="dxa"/>
        </w:tblCellMar>
        <w:tblLook w:val="04A0" w:firstRow="1" w:lastRow="0" w:firstColumn="1" w:lastColumn="0" w:noHBand="0" w:noVBand="1"/>
      </w:tblPr>
      <w:tblGrid>
        <w:gridCol w:w="1569"/>
        <w:gridCol w:w="979"/>
        <w:gridCol w:w="1042"/>
        <w:gridCol w:w="1042"/>
        <w:gridCol w:w="1284"/>
        <w:gridCol w:w="1284"/>
      </w:tblGrid>
      <w:tr w:rsidR="00D17C67" w:rsidRPr="00465D85" w14:paraId="4D7557CD" w14:textId="77777777" w:rsidTr="006A6076">
        <w:trPr>
          <w:trHeight w:val="1050"/>
        </w:trPr>
        <w:tc>
          <w:tcPr>
            <w:tcW w:w="4632" w:type="dxa"/>
            <w:gridSpan w:val="4"/>
            <w:tcBorders>
              <w:top w:val="nil"/>
              <w:left w:val="nil"/>
              <w:bottom w:val="single" w:sz="4" w:space="0" w:color="auto"/>
              <w:right w:val="nil"/>
            </w:tcBorders>
            <w:shd w:val="clear" w:color="auto" w:fill="auto"/>
            <w:vAlign w:val="center"/>
            <w:hideMark/>
          </w:tcPr>
          <w:p w14:paraId="0985133C" w14:textId="77777777" w:rsidR="00D17C67" w:rsidRPr="00465D85" w:rsidRDefault="00D17C67" w:rsidP="00605ABF">
            <w:pPr>
              <w:rPr>
                <w:rFonts w:ascii="Arial" w:hAnsi="Arial" w:cs="Arial"/>
                <w:sz w:val="18"/>
                <w:szCs w:val="18"/>
                <w:lang w:val="en-GB"/>
              </w:rPr>
            </w:pPr>
            <w:r w:rsidRPr="00465D85">
              <w:rPr>
                <w:rFonts w:ascii="Arial" w:hAnsi="Arial" w:cs="Arial"/>
                <w:sz w:val="18"/>
                <w:szCs w:val="18"/>
                <w:lang w:val="en-GB"/>
              </w:rPr>
              <w:t>Aktuelle Wechselkurse: Übersicht</w:t>
            </w:r>
            <w:r w:rsidRPr="00465D85">
              <w:rPr>
                <w:rFonts w:ascii="Arial" w:hAnsi="Arial" w:cs="Arial"/>
                <w:sz w:val="18"/>
                <w:szCs w:val="18"/>
                <w:lang w:val="en-GB"/>
              </w:rPr>
              <w:br/>
              <w:t>Cours de change actuels: aperçu</w:t>
            </w:r>
            <w:r w:rsidRPr="00465D85">
              <w:rPr>
                <w:rFonts w:ascii="Arial" w:hAnsi="Arial" w:cs="Arial"/>
                <w:sz w:val="18"/>
                <w:szCs w:val="18"/>
                <w:lang w:val="en-GB"/>
              </w:rPr>
              <w:br/>
              <w:t>Current exchange rates: overview</w:t>
            </w:r>
            <w:r w:rsidRPr="00465D85">
              <w:rPr>
                <w:rFonts w:ascii="Arial" w:hAnsi="Arial" w:cs="Arial"/>
                <w:sz w:val="18"/>
                <w:szCs w:val="18"/>
                <w:lang w:val="en-GB"/>
              </w:rPr>
              <w:br/>
              <w:t>Tassi di cambio attuali: panoramica</w:t>
            </w:r>
          </w:p>
        </w:tc>
        <w:tc>
          <w:tcPr>
            <w:tcW w:w="1284" w:type="dxa"/>
            <w:tcBorders>
              <w:top w:val="nil"/>
              <w:left w:val="nil"/>
              <w:bottom w:val="nil"/>
              <w:right w:val="nil"/>
            </w:tcBorders>
            <w:shd w:val="clear" w:color="auto" w:fill="auto"/>
            <w:vAlign w:val="center"/>
            <w:hideMark/>
          </w:tcPr>
          <w:p w14:paraId="513F96EC" w14:textId="77777777" w:rsidR="00D17C67" w:rsidRPr="00465D85" w:rsidRDefault="00D17C67" w:rsidP="00605ABF">
            <w:pPr>
              <w:rPr>
                <w:rFonts w:ascii="Arial" w:hAnsi="Arial" w:cs="Arial"/>
                <w:sz w:val="18"/>
                <w:szCs w:val="18"/>
                <w:lang w:val="en-GB"/>
              </w:rPr>
            </w:pPr>
          </w:p>
        </w:tc>
        <w:tc>
          <w:tcPr>
            <w:tcW w:w="1284" w:type="dxa"/>
            <w:tcBorders>
              <w:top w:val="nil"/>
              <w:left w:val="nil"/>
              <w:bottom w:val="nil"/>
              <w:right w:val="nil"/>
            </w:tcBorders>
            <w:shd w:val="clear" w:color="auto" w:fill="auto"/>
            <w:vAlign w:val="bottom"/>
            <w:hideMark/>
          </w:tcPr>
          <w:p w14:paraId="0F8DC96F" w14:textId="77777777" w:rsidR="00D17C67" w:rsidRPr="00465D85" w:rsidRDefault="00D17C67" w:rsidP="00605ABF">
            <w:pPr>
              <w:rPr>
                <w:rFonts w:ascii="Arial" w:hAnsi="Arial" w:cs="Arial"/>
                <w:sz w:val="18"/>
                <w:szCs w:val="18"/>
                <w:lang w:val="en-GB"/>
              </w:rPr>
            </w:pPr>
            <w:r w:rsidRPr="00465D85">
              <w:rPr>
                <w:rFonts w:ascii="Arial" w:hAnsi="Arial" w:cs="Arial"/>
                <w:sz w:val="18"/>
                <w:szCs w:val="18"/>
                <w:lang w:val="en-GB"/>
              </w:rPr>
              <w:t>30.05.2022</w:t>
            </w:r>
          </w:p>
        </w:tc>
      </w:tr>
      <w:tr w:rsidR="00D17C67" w:rsidRPr="00465D85" w14:paraId="7772A17E" w14:textId="77777777" w:rsidTr="006A6076">
        <w:trPr>
          <w:trHeight w:val="450"/>
        </w:trPr>
        <w:tc>
          <w:tcPr>
            <w:tcW w:w="2548" w:type="dxa"/>
            <w:gridSpan w:val="2"/>
            <w:tcBorders>
              <w:top w:val="single" w:sz="4" w:space="0" w:color="auto"/>
              <w:left w:val="nil"/>
              <w:bottom w:val="nil"/>
              <w:right w:val="nil"/>
            </w:tcBorders>
            <w:shd w:val="clear" w:color="auto" w:fill="auto"/>
            <w:noWrap/>
            <w:vAlign w:val="center"/>
            <w:hideMark/>
          </w:tcPr>
          <w:p w14:paraId="29B64152" w14:textId="77777777" w:rsidR="00D17C67" w:rsidRPr="00465D85" w:rsidRDefault="00D17C67" w:rsidP="006A6076">
            <w:pPr>
              <w:spacing w:before="0"/>
              <w:ind w:firstLineChars="200" w:firstLine="361"/>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EUR</w:t>
            </w:r>
          </w:p>
        </w:tc>
        <w:tc>
          <w:tcPr>
            <w:tcW w:w="4652" w:type="dxa"/>
            <w:gridSpan w:val="4"/>
            <w:tcBorders>
              <w:top w:val="single" w:sz="4" w:space="0" w:color="auto"/>
              <w:left w:val="nil"/>
              <w:bottom w:val="nil"/>
              <w:right w:val="nil"/>
            </w:tcBorders>
            <w:shd w:val="clear" w:color="auto" w:fill="auto"/>
            <w:vAlign w:val="center"/>
            <w:hideMark/>
          </w:tcPr>
          <w:p w14:paraId="4FF4A534" w14:textId="77777777" w:rsidR="00D17C67" w:rsidRPr="00465D85" w:rsidRDefault="00D17C67" w:rsidP="006A6076">
            <w:pPr>
              <w:spacing w:before="0"/>
              <w:rPr>
                <w:rFonts w:ascii="Arial" w:eastAsia="Times New Roman" w:hAnsi="Arial" w:cs="Arial"/>
                <w:color w:val="000000"/>
                <w:sz w:val="18"/>
                <w:szCs w:val="18"/>
                <w:lang w:val="de-CH" w:eastAsia="ja-JP"/>
              </w:rPr>
            </w:pPr>
            <w:r w:rsidRPr="00465D85">
              <w:rPr>
                <w:rFonts w:ascii="Arial" w:eastAsia="Times New Roman" w:hAnsi="Arial" w:cs="Arial"/>
                <w:color w:val="000000"/>
                <w:sz w:val="18"/>
                <w:szCs w:val="18"/>
                <w:lang w:val="de-CH" w:eastAsia="ja-JP"/>
              </w:rPr>
              <w:t>1 EUR in/en CHF</w:t>
            </w:r>
          </w:p>
        </w:tc>
      </w:tr>
      <w:tr w:rsidR="00D17C67" w:rsidRPr="00465D85" w14:paraId="63554FF5" w14:textId="77777777" w:rsidTr="006A6076">
        <w:trPr>
          <w:trHeight w:val="450"/>
        </w:trPr>
        <w:tc>
          <w:tcPr>
            <w:tcW w:w="2548" w:type="dxa"/>
            <w:gridSpan w:val="2"/>
            <w:tcBorders>
              <w:top w:val="nil"/>
              <w:left w:val="nil"/>
              <w:bottom w:val="nil"/>
              <w:right w:val="nil"/>
            </w:tcBorders>
            <w:shd w:val="clear" w:color="auto" w:fill="auto"/>
            <w:noWrap/>
            <w:vAlign w:val="center"/>
            <w:hideMark/>
          </w:tcPr>
          <w:p w14:paraId="03AA444E" w14:textId="77777777" w:rsidR="00D17C67" w:rsidRPr="00465D85" w:rsidRDefault="00D17C67" w:rsidP="006A6076">
            <w:pPr>
              <w:spacing w:before="0"/>
              <w:ind w:firstLineChars="200" w:firstLine="361"/>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USD</w:t>
            </w:r>
          </w:p>
        </w:tc>
        <w:tc>
          <w:tcPr>
            <w:tcW w:w="4652" w:type="dxa"/>
            <w:gridSpan w:val="4"/>
            <w:tcBorders>
              <w:top w:val="nil"/>
              <w:left w:val="nil"/>
              <w:bottom w:val="nil"/>
              <w:right w:val="nil"/>
            </w:tcBorders>
            <w:shd w:val="clear" w:color="auto" w:fill="auto"/>
            <w:vAlign w:val="center"/>
            <w:hideMark/>
          </w:tcPr>
          <w:p w14:paraId="360B1C9C" w14:textId="77777777" w:rsidR="00D17C67" w:rsidRPr="00465D85" w:rsidRDefault="00D17C67" w:rsidP="006A6076">
            <w:pPr>
              <w:spacing w:before="0"/>
              <w:rPr>
                <w:rFonts w:ascii="Arial" w:eastAsia="Times New Roman" w:hAnsi="Arial" w:cs="Arial"/>
                <w:color w:val="000000"/>
                <w:sz w:val="18"/>
                <w:szCs w:val="18"/>
                <w:lang w:val="de-CH" w:eastAsia="ja-JP"/>
              </w:rPr>
            </w:pPr>
            <w:r w:rsidRPr="00465D85">
              <w:rPr>
                <w:rFonts w:ascii="Arial" w:eastAsia="Times New Roman" w:hAnsi="Arial" w:cs="Arial"/>
                <w:color w:val="000000"/>
                <w:sz w:val="18"/>
                <w:szCs w:val="18"/>
                <w:lang w:val="de-CH" w:eastAsia="ja-JP"/>
              </w:rPr>
              <w:t>1 USD in/en CHF</w:t>
            </w:r>
          </w:p>
        </w:tc>
      </w:tr>
      <w:tr w:rsidR="00D17C67" w:rsidRPr="00465D85" w14:paraId="402D4720" w14:textId="77777777" w:rsidTr="006A6076">
        <w:trPr>
          <w:trHeight w:val="450"/>
        </w:trPr>
        <w:tc>
          <w:tcPr>
            <w:tcW w:w="2548" w:type="dxa"/>
            <w:gridSpan w:val="2"/>
            <w:tcBorders>
              <w:top w:val="nil"/>
              <w:left w:val="nil"/>
              <w:bottom w:val="nil"/>
              <w:right w:val="nil"/>
            </w:tcBorders>
            <w:shd w:val="clear" w:color="auto" w:fill="auto"/>
            <w:noWrap/>
            <w:vAlign w:val="center"/>
            <w:hideMark/>
          </w:tcPr>
          <w:p w14:paraId="5AE94830" w14:textId="77777777" w:rsidR="00D17C67" w:rsidRPr="00465D85" w:rsidRDefault="00D17C67" w:rsidP="006A6076">
            <w:pPr>
              <w:spacing w:before="0"/>
              <w:ind w:firstLineChars="200" w:firstLine="361"/>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JPY</w:t>
            </w:r>
          </w:p>
        </w:tc>
        <w:tc>
          <w:tcPr>
            <w:tcW w:w="4652" w:type="dxa"/>
            <w:gridSpan w:val="4"/>
            <w:tcBorders>
              <w:top w:val="nil"/>
              <w:left w:val="nil"/>
              <w:bottom w:val="nil"/>
              <w:right w:val="nil"/>
            </w:tcBorders>
            <w:shd w:val="clear" w:color="auto" w:fill="auto"/>
            <w:vAlign w:val="center"/>
            <w:hideMark/>
          </w:tcPr>
          <w:p w14:paraId="42833FA4" w14:textId="77777777" w:rsidR="00D17C67" w:rsidRPr="00465D85" w:rsidRDefault="00D17C67" w:rsidP="006A6076">
            <w:pPr>
              <w:spacing w:before="0"/>
              <w:rPr>
                <w:rFonts w:ascii="Arial" w:eastAsia="Times New Roman" w:hAnsi="Arial" w:cs="Arial"/>
                <w:color w:val="000000"/>
                <w:sz w:val="18"/>
                <w:szCs w:val="18"/>
                <w:lang w:val="de-CH" w:eastAsia="ja-JP"/>
              </w:rPr>
            </w:pPr>
            <w:r w:rsidRPr="00465D85">
              <w:rPr>
                <w:rFonts w:ascii="Arial" w:eastAsia="Times New Roman" w:hAnsi="Arial" w:cs="Arial"/>
                <w:color w:val="000000"/>
                <w:sz w:val="18"/>
                <w:szCs w:val="18"/>
                <w:lang w:val="de-CH" w:eastAsia="ja-JP"/>
              </w:rPr>
              <w:t>100 JPY in/en CHF</w:t>
            </w:r>
          </w:p>
        </w:tc>
      </w:tr>
      <w:tr w:rsidR="00D17C67" w:rsidRPr="00465D85" w14:paraId="311D8C8C" w14:textId="77777777" w:rsidTr="006A6076">
        <w:trPr>
          <w:trHeight w:val="450"/>
        </w:trPr>
        <w:tc>
          <w:tcPr>
            <w:tcW w:w="2548" w:type="dxa"/>
            <w:gridSpan w:val="2"/>
            <w:tcBorders>
              <w:top w:val="nil"/>
              <w:left w:val="nil"/>
              <w:bottom w:val="single" w:sz="4" w:space="0" w:color="auto"/>
              <w:right w:val="nil"/>
            </w:tcBorders>
            <w:shd w:val="clear" w:color="auto" w:fill="auto"/>
            <w:noWrap/>
            <w:vAlign w:val="center"/>
            <w:hideMark/>
          </w:tcPr>
          <w:p w14:paraId="240E7A95" w14:textId="77777777" w:rsidR="00D17C67" w:rsidRPr="00465D85" w:rsidRDefault="00D17C67" w:rsidP="006A6076">
            <w:pPr>
              <w:spacing w:before="0"/>
              <w:ind w:firstLineChars="200" w:firstLine="361"/>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GBP</w:t>
            </w:r>
          </w:p>
        </w:tc>
        <w:tc>
          <w:tcPr>
            <w:tcW w:w="4652" w:type="dxa"/>
            <w:gridSpan w:val="4"/>
            <w:tcBorders>
              <w:top w:val="nil"/>
              <w:left w:val="nil"/>
              <w:bottom w:val="single" w:sz="4" w:space="0" w:color="auto"/>
              <w:right w:val="nil"/>
            </w:tcBorders>
            <w:shd w:val="clear" w:color="auto" w:fill="auto"/>
            <w:vAlign w:val="center"/>
            <w:hideMark/>
          </w:tcPr>
          <w:p w14:paraId="5A816571" w14:textId="77777777" w:rsidR="00D17C67" w:rsidRPr="00465D85" w:rsidRDefault="00D17C67" w:rsidP="006A6076">
            <w:pPr>
              <w:spacing w:before="0"/>
              <w:rPr>
                <w:rFonts w:ascii="Arial" w:eastAsia="Times New Roman" w:hAnsi="Arial" w:cs="Arial"/>
                <w:color w:val="000000"/>
                <w:sz w:val="18"/>
                <w:szCs w:val="18"/>
                <w:lang w:val="de-CH" w:eastAsia="ja-JP"/>
              </w:rPr>
            </w:pPr>
            <w:r w:rsidRPr="00465D85">
              <w:rPr>
                <w:rFonts w:ascii="Arial" w:eastAsia="Times New Roman" w:hAnsi="Arial" w:cs="Arial"/>
                <w:color w:val="000000"/>
                <w:sz w:val="18"/>
                <w:szCs w:val="18"/>
                <w:lang w:val="de-CH" w:eastAsia="ja-JP"/>
              </w:rPr>
              <w:t>1 GBP in/en CHF</w:t>
            </w:r>
          </w:p>
        </w:tc>
      </w:tr>
      <w:tr w:rsidR="00D17C67" w:rsidRPr="00465D85" w14:paraId="7237BAF5" w14:textId="77777777" w:rsidTr="006A6076">
        <w:trPr>
          <w:trHeight w:val="600"/>
        </w:trPr>
        <w:tc>
          <w:tcPr>
            <w:tcW w:w="1569" w:type="dxa"/>
            <w:tcBorders>
              <w:top w:val="nil"/>
              <w:left w:val="nil"/>
              <w:bottom w:val="nil"/>
              <w:right w:val="nil"/>
            </w:tcBorders>
            <w:shd w:val="clear" w:color="auto" w:fill="auto"/>
            <w:noWrap/>
            <w:vAlign w:val="bottom"/>
            <w:hideMark/>
          </w:tcPr>
          <w:p w14:paraId="55A5B14C" w14:textId="77777777" w:rsidR="00D17C67" w:rsidRPr="00465D85" w:rsidRDefault="00D17C67" w:rsidP="006A6076">
            <w:pPr>
              <w:spacing w:before="0"/>
              <w:rPr>
                <w:rFonts w:ascii="Arial" w:eastAsia="Times New Roman" w:hAnsi="Arial" w:cs="Arial"/>
                <w:color w:val="000000"/>
                <w:sz w:val="18"/>
                <w:szCs w:val="18"/>
                <w:lang w:val="de-CH" w:eastAsia="ja-JP"/>
              </w:rPr>
            </w:pPr>
          </w:p>
        </w:tc>
        <w:tc>
          <w:tcPr>
            <w:tcW w:w="979" w:type="dxa"/>
            <w:tcBorders>
              <w:top w:val="nil"/>
              <w:left w:val="nil"/>
              <w:bottom w:val="nil"/>
              <w:right w:val="nil"/>
            </w:tcBorders>
            <w:shd w:val="clear" w:color="auto" w:fill="auto"/>
            <w:noWrap/>
            <w:vAlign w:val="bottom"/>
            <w:hideMark/>
          </w:tcPr>
          <w:p w14:paraId="508F93AA" w14:textId="77777777" w:rsidR="00D17C67" w:rsidRPr="00465D85" w:rsidRDefault="00D17C67" w:rsidP="006A6076">
            <w:pPr>
              <w:spacing w:before="0"/>
              <w:jc w:val="right"/>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EUR</w:t>
            </w:r>
          </w:p>
        </w:tc>
        <w:tc>
          <w:tcPr>
            <w:tcW w:w="1042" w:type="dxa"/>
            <w:tcBorders>
              <w:top w:val="nil"/>
              <w:left w:val="nil"/>
              <w:bottom w:val="nil"/>
              <w:right w:val="nil"/>
            </w:tcBorders>
            <w:shd w:val="clear" w:color="auto" w:fill="auto"/>
            <w:noWrap/>
            <w:vAlign w:val="bottom"/>
            <w:hideMark/>
          </w:tcPr>
          <w:p w14:paraId="2F20BF8B" w14:textId="77777777" w:rsidR="00D17C67" w:rsidRPr="00465D85" w:rsidRDefault="00D17C67" w:rsidP="006A6076">
            <w:pPr>
              <w:spacing w:before="0"/>
              <w:jc w:val="right"/>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USD</w:t>
            </w:r>
          </w:p>
        </w:tc>
        <w:tc>
          <w:tcPr>
            <w:tcW w:w="1042" w:type="dxa"/>
            <w:tcBorders>
              <w:top w:val="nil"/>
              <w:left w:val="nil"/>
              <w:bottom w:val="nil"/>
              <w:right w:val="nil"/>
            </w:tcBorders>
            <w:shd w:val="clear" w:color="auto" w:fill="auto"/>
            <w:noWrap/>
            <w:vAlign w:val="bottom"/>
            <w:hideMark/>
          </w:tcPr>
          <w:p w14:paraId="166108B9" w14:textId="77777777" w:rsidR="00D17C67" w:rsidRPr="00465D85" w:rsidRDefault="00D17C67" w:rsidP="006A6076">
            <w:pPr>
              <w:spacing w:before="0"/>
              <w:jc w:val="right"/>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JPY</w:t>
            </w:r>
          </w:p>
        </w:tc>
        <w:tc>
          <w:tcPr>
            <w:tcW w:w="1284" w:type="dxa"/>
            <w:tcBorders>
              <w:top w:val="nil"/>
              <w:left w:val="nil"/>
              <w:bottom w:val="nil"/>
              <w:right w:val="nil"/>
            </w:tcBorders>
            <w:shd w:val="clear" w:color="auto" w:fill="auto"/>
            <w:noWrap/>
            <w:vAlign w:val="bottom"/>
            <w:hideMark/>
          </w:tcPr>
          <w:p w14:paraId="239850CA" w14:textId="77777777" w:rsidR="00D17C67" w:rsidRPr="00465D85" w:rsidRDefault="00D17C67" w:rsidP="006A6076">
            <w:pPr>
              <w:spacing w:before="0"/>
              <w:jc w:val="right"/>
              <w:rPr>
                <w:rFonts w:ascii="Arial" w:eastAsia="Times New Roman" w:hAnsi="Arial" w:cs="Arial"/>
                <w:b/>
                <w:bCs/>
                <w:color w:val="000000"/>
                <w:sz w:val="18"/>
                <w:szCs w:val="18"/>
                <w:lang w:val="de-CH" w:eastAsia="ja-JP"/>
              </w:rPr>
            </w:pPr>
            <w:r w:rsidRPr="00465D85">
              <w:rPr>
                <w:rFonts w:ascii="Arial" w:eastAsia="Times New Roman" w:hAnsi="Arial" w:cs="Arial"/>
                <w:b/>
                <w:bCs/>
                <w:color w:val="000000"/>
                <w:sz w:val="18"/>
                <w:szCs w:val="18"/>
                <w:lang w:val="de-CH" w:eastAsia="ja-JP"/>
              </w:rPr>
              <w:t>GBP</w:t>
            </w:r>
          </w:p>
        </w:tc>
        <w:tc>
          <w:tcPr>
            <w:tcW w:w="1284" w:type="dxa"/>
            <w:tcBorders>
              <w:top w:val="nil"/>
              <w:left w:val="nil"/>
              <w:bottom w:val="nil"/>
              <w:right w:val="nil"/>
            </w:tcBorders>
            <w:shd w:val="clear" w:color="auto" w:fill="auto"/>
            <w:noWrap/>
            <w:vAlign w:val="bottom"/>
            <w:hideMark/>
          </w:tcPr>
          <w:p w14:paraId="256015F9" w14:textId="77777777" w:rsidR="00D17C67" w:rsidRPr="00465D85" w:rsidRDefault="00D17C67" w:rsidP="006A6076">
            <w:pPr>
              <w:spacing w:before="0"/>
              <w:jc w:val="right"/>
              <w:rPr>
                <w:rFonts w:ascii="Arial" w:eastAsia="Times New Roman" w:hAnsi="Arial" w:cs="Arial"/>
                <w:b/>
                <w:bCs/>
                <w:color w:val="000000"/>
                <w:sz w:val="18"/>
                <w:szCs w:val="18"/>
                <w:lang w:val="de-CH" w:eastAsia="ja-JP"/>
              </w:rPr>
            </w:pPr>
          </w:p>
        </w:tc>
      </w:tr>
      <w:tr w:rsidR="00D17C67" w:rsidRPr="00AB3C86" w14:paraId="4BC617B3" w14:textId="77777777" w:rsidTr="006A6076">
        <w:trPr>
          <w:trHeight w:val="260"/>
        </w:trPr>
        <w:tc>
          <w:tcPr>
            <w:tcW w:w="1569" w:type="dxa"/>
            <w:tcBorders>
              <w:top w:val="nil"/>
              <w:left w:val="nil"/>
              <w:bottom w:val="nil"/>
              <w:right w:val="nil"/>
            </w:tcBorders>
            <w:shd w:val="clear" w:color="auto" w:fill="auto"/>
            <w:noWrap/>
            <w:vAlign w:val="bottom"/>
            <w:hideMark/>
          </w:tcPr>
          <w:p w14:paraId="5F0C5079" w14:textId="77777777" w:rsidR="00D17C67" w:rsidRPr="00AB3C86" w:rsidRDefault="00D17C67" w:rsidP="006A6076">
            <w:pPr>
              <w:spacing w:before="0"/>
              <w:jc w:val="right"/>
              <w:rPr>
                <w:rFonts w:ascii="Arial" w:eastAsia="Times New Roman" w:hAnsi="Arial" w:cs="Arial"/>
                <w:sz w:val="18"/>
                <w:szCs w:val="18"/>
                <w:highlight w:val="yellow"/>
                <w:lang w:val="de-CH" w:eastAsia="ja-JP"/>
              </w:rPr>
            </w:pPr>
            <w:r w:rsidRPr="00AB3C86">
              <w:rPr>
                <w:rFonts w:ascii="Arial" w:eastAsia="Times New Roman" w:hAnsi="Arial" w:cs="Arial"/>
                <w:sz w:val="18"/>
                <w:szCs w:val="18"/>
                <w:highlight w:val="yellow"/>
                <w:lang w:val="de-CH" w:eastAsia="ja-JP"/>
              </w:rPr>
              <w:t>30.05.2022</w:t>
            </w:r>
          </w:p>
        </w:tc>
        <w:tc>
          <w:tcPr>
            <w:tcW w:w="979" w:type="dxa"/>
            <w:tcBorders>
              <w:top w:val="nil"/>
              <w:left w:val="nil"/>
              <w:bottom w:val="nil"/>
              <w:right w:val="nil"/>
            </w:tcBorders>
            <w:shd w:val="clear" w:color="auto" w:fill="auto"/>
            <w:noWrap/>
            <w:vAlign w:val="bottom"/>
            <w:hideMark/>
          </w:tcPr>
          <w:p w14:paraId="76781B61" w14:textId="77777777" w:rsidR="00D17C67" w:rsidRPr="00AB3C86" w:rsidRDefault="00D17C67" w:rsidP="006A6076">
            <w:pPr>
              <w:spacing w:before="0"/>
              <w:jc w:val="right"/>
              <w:rPr>
                <w:rFonts w:ascii="Arial" w:eastAsia="Times New Roman" w:hAnsi="Arial" w:cs="Arial"/>
                <w:sz w:val="18"/>
                <w:szCs w:val="18"/>
                <w:highlight w:val="yellow"/>
                <w:lang w:val="de-CH" w:eastAsia="ja-JP"/>
              </w:rPr>
            </w:pPr>
            <w:r w:rsidRPr="00AB3C86">
              <w:rPr>
                <w:rFonts w:ascii="Arial" w:eastAsia="Times New Roman" w:hAnsi="Arial" w:cs="Arial"/>
                <w:sz w:val="18"/>
                <w:szCs w:val="18"/>
                <w:highlight w:val="yellow"/>
                <w:lang w:val="de-CH" w:eastAsia="ja-JP"/>
              </w:rPr>
              <w:t>1.0298</w:t>
            </w:r>
          </w:p>
        </w:tc>
        <w:tc>
          <w:tcPr>
            <w:tcW w:w="1042" w:type="dxa"/>
            <w:tcBorders>
              <w:top w:val="nil"/>
              <w:left w:val="nil"/>
              <w:bottom w:val="nil"/>
              <w:right w:val="nil"/>
            </w:tcBorders>
            <w:shd w:val="clear" w:color="auto" w:fill="auto"/>
            <w:noWrap/>
            <w:vAlign w:val="bottom"/>
            <w:hideMark/>
          </w:tcPr>
          <w:p w14:paraId="78BF47E1" w14:textId="77777777" w:rsidR="00D17C67" w:rsidRPr="00AB3C86" w:rsidRDefault="00D17C67" w:rsidP="006A6076">
            <w:pPr>
              <w:spacing w:before="0"/>
              <w:jc w:val="right"/>
              <w:rPr>
                <w:rFonts w:ascii="Arial" w:eastAsia="Times New Roman" w:hAnsi="Arial" w:cs="Arial"/>
                <w:sz w:val="18"/>
                <w:szCs w:val="18"/>
                <w:highlight w:val="yellow"/>
                <w:lang w:val="de-CH" w:eastAsia="ja-JP"/>
              </w:rPr>
            </w:pPr>
            <w:r w:rsidRPr="00AB3C86">
              <w:rPr>
                <w:rFonts w:ascii="Arial" w:eastAsia="Times New Roman" w:hAnsi="Arial" w:cs="Arial"/>
                <w:sz w:val="18"/>
                <w:szCs w:val="18"/>
                <w:highlight w:val="yellow"/>
                <w:lang w:val="de-CH" w:eastAsia="ja-JP"/>
              </w:rPr>
              <w:t>0.9569</w:t>
            </w:r>
          </w:p>
        </w:tc>
        <w:tc>
          <w:tcPr>
            <w:tcW w:w="1042" w:type="dxa"/>
            <w:tcBorders>
              <w:top w:val="nil"/>
              <w:left w:val="nil"/>
              <w:bottom w:val="nil"/>
              <w:right w:val="nil"/>
            </w:tcBorders>
            <w:shd w:val="clear" w:color="auto" w:fill="auto"/>
            <w:noWrap/>
            <w:vAlign w:val="bottom"/>
            <w:hideMark/>
          </w:tcPr>
          <w:p w14:paraId="5D357574" w14:textId="77777777" w:rsidR="00D17C67" w:rsidRPr="00AB3C86" w:rsidRDefault="00D17C67" w:rsidP="006A6076">
            <w:pPr>
              <w:spacing w:before="0"/>
              <w:jc w:val="right"/>
              <w:rPr>
                <w:rFonts w:ascii="Arial" w:eastAsia="Times New Roman" w:hAnsi="Arial" w:cs="Arial"/>
                <w:color w:val="FF0000"/>
                <w:sz w:val="18"/>
                <w:szCs w:val="18"/>
                <w:highlight w:val="yellow"/>
                <w:lang w:val="de-CH" w:eastAsia="ja-JP"/>
              </w:rPr>
            </w:pPr>
            <w:r w:rsidRPr="00AB3C86">
              <w:rPr>
                <w:rFonts w:ascii="Arial" w:eastAsia="Times New Roman" w:hAnsi="Arial" w:cs="Arial"/>
                <w:color w:val="FF0000"/>
                <w:sz w:val="18"/>
                <w:szCs w:val="18"/>
                <w:highlight w:val="yellow"/>
                <w:lang w:val="de-CH" w:eastAsia="ja-JP"/>
              </w:rPr>
              <w:t>0.7517</w:t>
            </w:r>
          </w:p>
        </w:tc>
        <w:tc>
          <w:tcPr>
            <w:tcW w:w="1284" w:type="dxa"/>
            <w:tcBorders>
              <w:top w:val="nil"/>
              <w:left w:val="nil"/>
              <w:bottom w:val="nil"/>
              <w:right w:val="nil"/>
            </w:tcBorders>
            <w:shd w:val="clear" w:color="auto" w:fill="auto"/>
            <w:noWrap/>
            <w:vAlign w:val="bottom"/>
            <w:hideMark/>
          </w:tcPr>
          <w:p w14:paraId="66E7C093" w14:textId="77777777" w:rsidR="00D17C67" w:rsidRPr="00AB3C86" w:rsidRDefault="00D17C67" w:rsidP="006A6076">
            <w:pPr>
              <w:spacing w:before="0"/>
              <w:jc w:val="right"/>
              <w:rPr>
                <w:rFonts w:ascii="Arial" w:eastAsia="Times New Roman" w:hAnsi="Arial" w:cs="Arial"/>
                <w:sz w:val="18"/>
                <w:szCs w:val="18"/>
                <w:highlight w:val="yellow"/>
                <w:lang w:val="de-CH" w:eastAsia="ja-JP"/>
              </w:rPr>
            </w:pPr>
            <w:r w:rsidRPr="00AB3C86">
              <w:rPr>
                <w:rFonts w:ascii="Arial" w:eastAsia="Times New Roman" w:hAnsi="Arial" w:cs="Arial"/>
                <w:sz w:val="18"/>
                <w:szCs w:val="18"/>
                <w:highlight w:val="yellow"/>
                <w:lang w:val="de-CH" w:eastAsia="ja-JP"/>
              </w:rPr>
              <w:t>1.2084</w:t>
            </w:r>
          </w:p>
        </w:tc>
        <w:tc>
          <w:tcPr>
            <w:tcW w:w="1284" w:type="dxa"/>
            <w:tcBorders>
              <w:top w:val="nil"/>
              <w:left w:val="nil"/>
              <w:bottom w:val="nil"/>
              <w:right w:val="nil"/>
            </w:tcBorders>
            <w:shd w:val="clear" w:color="auto" w:fill="auto"/>
            <w:noWrap/>
            <w:vAlign w:val="bottom"/>
            <w:hideMark/>
          </w:tcPr>
          <w:p w14:paraId="63D3B4A5" w14:textId="77777777" w:rsidR="00D17C67" w:rsidRPr="00AB3C86" w:rsidRDefault="00D17C67" w:rsidP="006A6076">
            <w:pPr>
              <w:spacing w:before="0"/>
              <w:jc w:val="right"/>
              <w:rPr>
                <w:rFonts w:ascii="Arial" w:eastAsia="Times New Roman" w:hAnsi="Arial" w:cs="Arial"/>
                <w:sz w:val="18"/>
                <w:szCs w:val="18"/>
                <w:highlight w:val="yellow"/>
                <w:lang w:val="de-CH" w:eastAsia="ja-JP"/>
              </w:rPr>
            </w:pPr>
          </w:p>
        </w:tc>
      </w:tr>
      <w:tr w:rsidR="00D17C67" w:rsidRPr="00465D85" w14:paraId="7CB9FA0D" w14:textId="77777777" w:rsidTr="006A6076">
        <w:trPr>
          <w:trHeight w:val="260"/>
        </w:trPr>
        <w:tc>
          <w:tcPr>
            <w:tcW w:w="1569" w:type="dxa"/>
            <w:tcBorders>
              <w:top w:val="nil"/>
              <w:left w:val="nil"/>
              <w:bottom w:val="nil"/>
              <w:right w:val="nil"/>
            </w:tcBorders>
            <w:shd w:val="clear" w:color="auto" w:fill="auto"/>
            <w:noWrap/>
            <w:vAlign w:val="bottom"/>
            <w:hideMark/>
          </w:tcPr>
          <w:p w14:paraId="09880E3D"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27.05.2022</w:t>
            </w:r>
          </w:p>
        </w:tc>
        <w:tc>
          <w:tcPr>
            <w:tcW w:w="979" w:type="dxa"/>
            <w:tcBorders>
              <w:top w:val="nil"/>
              <w:left w:val="nil"/>
              <w:bottom w:val="nil"/>
              <w:right w:val="nil"/>
            </w:tcBorders>
            <w:shd w:val="clear" w:color="auto" w:fill="auto"/>
            <w:noWrap/>
            <w:vAlign w:val="bottom"/>
            <w:hideMark/>
          </w:tcPr>
          <w:p w14:paraId="4396F654"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1.0287</w:t>
            </w:r>
          </w:p>
        </w:tc>
        <w:tc>
          <w:tcPr>
            <w:tcW w:w="1042" w:type="dxa"/>
            <w:tcBorders>
              <w:top w:val="nil"/>
              <w:left w:val="nil"/>
              <w:bottom w:val="nil"/>
              <w:right w:val="nil"/>
            </w:tcBorders>
            <w:shd w:val="clear" w:color="auto" w:fill="auto"/>
            <w:noWrap/>
            <w:vAlign w:val="bottom"/>
            <w:hideMark/>
          </w:tcPr>
          <w:p w14:paraId="1174C8E3"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0.9588</w:t>
            </w:r>
          </w:p>
        </w:tc>
        <w:tc>
          <w:tcPr>
            <w:tcW w:w="1042" w:type="dxa"/>
            <w:tcBorders>
              <w:top w:val="nil"/>
              <w:left w:val="nil"/>
              <w:bottom w:val="nil"/>
              <w:right w:val="nil"/>
            </w:tcBorders>
            <w:shd w:val="clear" w:color="auto" w:fill="auto"/>
            <w:noWrap/>
            <w:vAlign w:val="bottom"/>
            <w:hideMark/>
          </w:tcPr>
          <w:p w14:paraId="484B742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0.7547</w:t>
            </w:r>
          </w:p>
        </w:tc>
        <w:tc>
          <w:tcPr>
            <w:tcW w:w="1284" w:type="dxa"/>
            <w:tcBorders>
              <w:top w:val="nil"/>
              <w:left w:val="nil"/>
              <w:bottom w:val="nil"/>
              <w:right w:val="nil"/>
            </w:tcBorders>
            <w:shd w:val="clear" w:color="auto" w:fill="auto"/>
            <w:noWrap/>
            <w:vAlign w:val="bottom"/>
            <w:hideMark/>
          </w:tcPr>
          <w:p w14:paraId="11B48F4F"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1.2095</w:t>
            </w:r>
          </w:p>
        </w:tc>
        <w:tc>
          <w:tcPr>
            <w:tcW w:w="1284" w:type="dxa"/>
            <w:tcBorders>
              <w:top w:val="nil"/>
              <w:left w:val="nil"/>
              <w:bottom w:val="nil"/>
              <w:right w:val="nil"/>
            </w:tcBorders>
            <w:shd w:val="clear" w:color="auto" w:fill="auto"/>
            <w:noWrap/>
            <w:vAlign w:val="bottom"/>
            <w:hideMark/>
          </w:tcPr>
          <w:p w14:paraId="56EA7C93"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6E458A3F" w14:textId="77777777" w:rsidTr="006A6076">
        <w:trPr>
          <w:trHeight w:val="260"/>
        </w:trPr>
        <w:tc>
          <w:tcPr>
            <w:tcW w:w="1569" w:type="dxa"/>
            <w:tcBorders>
              <w:top w:val="nil"/>
              <w:left w:val="nil"/>
              <w:bottom w:val="nil"/>
              <w:right w:val="nil"/>
            </w:tcBorders>
            <w:shd w:val="clear" w:color="auto" w:fill="auto"/>
            <w:noWrap/>
            <w:vAlign w:val="bottom"/>
            <w:hideMark/>
          </w:tcPr>
          <w:p w14:paraId="05BABF16"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25.05.2022</w:t>
            </w:r>
          </w:p>
        </w:tc>
        <w:tc>
          <w:tcPr>
            <w:tcW w:w="979" w:type="dxa"/>
            <w:tcBorders>
              <w:top w:val="nil"/>
              <w:left w:val="nil"/>
              <w:bottom w:val="nil"/>
              <w:right w:val="nil"/>
            </w:tcBorders>
            <w:shd w:val="clear" w:color="auto" w:fill="auto"/>
            <w:noWrap/>
            <w:vAlign w:val="bottom"/>
            <w:hideMark/>
          </w:tcPr>
          <w:p w14:paraId="684153EE"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1.0275</w:t>
            </w:r>
          </w:p>
        </w:tc>
        <w:tc>
          <w:tcPr>
            <w:tcW w:w="1042" w:type="dxa"/>
            <w:tcBorders>
              <w:top w:val="nil"/>
              <w:left w:val="nil"/>
              <w:bottom w:val="nil"/>
              <w:right w:val="nil"/>
            </w:tcBorders>
            <w:shd w:val="clear" w:color="auto" w:fill="auto"/>
            <w:noWrap/>
            <w:vAlign w:val="bottom"/>
            <w:hideMark/>
          </w:tcPr>
          <w:p w14:paraId="2D3DC05B"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0.9628</w:t>
            </w:r>
          </w:p>
        </w:tc>
        <w:tc>
          <w:tcPr>
            <w:tcW w:w="1042" w:type="dxa"/>
            <w:tcBorders>
              <w:top w:val="nil"/>
              <w:left w:val="nil"/>
              <w:bottom w:val="nil"/>
              <w:right w:val="nil"/>
            </w:tcBorders>
            <w:shd w:val="clear" w:color="auto" w:fill="auto"/>
            <w:noWrap/>
            <w:vAlign w:val="bottom"/>
            <w:hideMark/>
          </w:tcPr>
          <w:p w14:paraId="3509364E"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0.7577</w:t>
            </w:r>
          </w:p>
        </w:tc>
        <w:tc>
          <w:tcPr>
            <w:tcW w:w="1284" w:type="dxa"/>
            <w:tcBorders>
              <w:top w:val="nil"/>
              <w:left w:val="nil"/>
              <w:bottom w:val="nil"/>
              <w:right w:val="nil"/>
            </w:tcBorders>
            <w:shd w:val="clear" w:color="auto" w:fill="auto"/>
            <w:noWrap/>
            <w:vAlign w:val="bottom"/>
            <w:hideMark/>
          </w:tcPr>
          <w:p w14:paraId="3D75209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1.2058</w:t>
            </w:r>
          </w:p>
        </w:tc>
        <w:tc>
          <w:tcPr>
            <w:tcW w:w="1284" w:type="dxa"/>
            <w:tcBorders>
              <w:top w:val="nil"/>
              <w:left w:val="nil"/>
              <w:bottom w:val="nil"/>
              <w:right w:val="nil"/>
            </w:tcBorders>
            <w:shd w:val="clear" w:color="auto" w:fill="auto"/>
            <w:noWrap/>
            <w:vAlign w:val="bottom"/>
            <w:hideMark/>
          </w:tcPr>
          <w:p w14:paraId="5170C515"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26BBCC90" w14:textId="77777777" w:rsidTr="006A6076">
        <w:trPr>
          <w:trHeight w:val="260"/>
        </w:trPr>
        <w:tc>
          <w:tcPr>
            <w:tcW w:w="1569" w:type="dxa"/>
            <w:tcBorders>
              <w:top w:val="nil"/>
              <w:left w:val="nil"/>
              <w:bottom w:val="nil"/>
              <w:right w:val="nil"/>
            </w:tcBorders>
            <w:shd w:val="clear" w:color="auto" w:fill="auto"/>
            <w:noWrap/>
            <w:vAlign w:val="bottom"/>
            <w:hideMark/>
          </w:tcPr>
          <w:p w14:paraId="7CD587FF"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24.05.2022</w:t>
            </w:r>
          </w:p>
        </w:tc>
        <w:tc>
          <w:tcPr>
            <w:tcW w:w="979" w:type="dxa"/>
            <w:tcBorders>
              <w:top w:val="nil"/>
              <w:left w:val="nil"/>
              <w:bottom w:val="nil"/>
              <w:right w:val="nil"/>
            </w:tcBorders>
            <w:shd w:val="clear" w:color="auto" w:fill="auto"/>
            <w:noWrap/>
            <w:vAlign w:val="bottom"/>
            <w:hideMark/>
          </w:tcPr>
          <w:p w14:paraId="26CF3E3F"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1.0310</w:t>
            </w:r>
          </w:p>
        </w:tc>
        <w:tc>
          <w:tcPr>
            <w:tcW w:w="1042" w:type="dxa"/>
            <w:tcBorders>
              <w:top w:val="nil"/>
              <w:left w:val="nil"/>
              <w:bottom w:val="nil"/>
              <w:right w:val="nil"/>
            </w:tcBorders>
            <w:shd w:val="clear" w:color="auto" w:fill="auto"/>
            <w:noWrap/>
            <w:vAlign w:val="bottom"/>
            <w:hideMark/>
          </w:tcPr>
          <w:p w14:paraId="7793AD0F"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0.9631</w:t>
            </w:r>
          </w:p>
        </w:tc>
        <w:tc>
          <w:tcPr>
            <w:tcW w:w="1042" w:type="dxa"/>
            <w:tcBorders>
              <w:top w:val="nil"/>
              <w:left w:val="nil"/>
              <w:bottom w:val="nil"/>
              <w:right w:val="nil"/>
            </w:tcBorders>
            <w:shd w:val="clear" w:color="auto" w:fill="auto"/>
            <w:noWrap/>
            <w:vAlign w:val="bottom"/>
            <w:hideMark/>
          </w:tcPr>
          <w:p w14:paraId="7762FEC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0.7559</w:t>
            </w:r>
          </w:p>
        </w:tc>
        <w:tc>
          <w:tcPr>
            <w:tcW w:w="1284" w:type="dxa"/>
            <w:tcBorders>
              <w:top w:val="nil"/>
              <w:left w:val="nil"/>
              <w:bottom w:val="nil"/>
              <w:right w:val="nil"/>
            </w:tcBorders>
            <w:shd w:val="clear" w:color="auto" w:fill="auto"/>
            <w:noWrap/>
            <w:vAlign w:val="bottom"/>
            <w:hideMark/>
          </w:tcPr>
          <w:p w14:paraId="2BD5DD1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1.2022</w:t>
            </w:r>
          </w:p>
        </w:tc>
        <w:tc>
          <w:tcPr>
            <w:tcW w:w="1284" w:type="dxa"/>
            <w:tcBorders>
              <w:top w:val="nil"/>
              <w:left w:val="nil"/>
              <w:bottom w:val="nil"/>
              <w:right w:val="nil"/>
            </w:tcBorders>
            <w:shd w:val="clear" w:color="auto" w:fill="auto"/>
            <w:noWrap/>
            <w:vAlign w:val="bottom"/>
            <w:hideMark/>
          </w:tcPr>
          <w:p w14:paraId="46903E88"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51454BBE" w14:textId="77777777" w:rsidTr="006A6076">
        <w:trPr>
          <w:trHeight w:val="260"/>
        </w:trPr>
        <w:tc>
          <w:tcPr>
            <w:tcW w:w="1569" w:type="dxa"/>
            <w:tcBorders>
              <w:top w:val="nil"/>
              <w:left w:val="nil"/>
              <w:bottom w:val="nil"/>
              <w:right w:val="nil"/>
            </w:tcBorders>
            <w:shd w:val="clear" w:color="auto" w:fill="auto"/>
            <w:noWrap/>
            <w:vAlign w:val="bottom"/>
            <w:hideMark/>
          </w:tcPr>
          <w:p w14:paraId="0DA36C09"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23.05.2022</w:t>
            </w:r>
          </w:p>
        </w:tc>
        <w:tc>
          <w:tcPr>
            <w:tcW w:w="979" w:type="dxa"/>
            <w:tcBorders>
              <w:top w:val="nil"/>
              <w:left w:val="nil"/>
              <w:bottom w:val="nil"/>
              <w:right w:val="nil"/>
            </w:tcBorders>
            <w:shd w:val="clear" w:color="auto" w:fill="auto"/>
            <w:noWrap/>
            <w:vAlign w:val="bottom"/>
            <w:hideMark/>
          </w:tcPr>
          <w:p w14:paraId="51743FD4"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1.0318</w:t>
            </w:r>
          </w:p>
        </w:tc>
        <w:tc>
          <w:tcPr>
            <w:tcW w:w="1042" w:type="dxa"/>
            <w:tcBorders>
              <w:top w:val="nil"/>
              <w:left w:val="nil"/>
              <w:bottom w:val="nil"/>
              <w:right w:val="nil"/>
            </w:tcBorders>
            <w:shd w:val="clear" w:color="auto" w:fill="auto"/>
            <w:noWrap/>
            <w:vAlign w:val="bottom"/>
            <w:hideMark/>
          </w:tcPr>
          <w:p w14:paraId="73C18872"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0.9692</w:t>
            </w:r>
          </w:p>
        </w:tc>
        <w:tc>
          <w:tcPr>
            <w:tcW w:w="1042" w:type="dxa"/>
            <w:tcBorders>
              <w:top w:val="nil"/>
              <w:left w:val="nil"/>
              <w:bottom w:val="nil"/>
              <w:right w:val="nil"/>
            </w:tcBorders>
            <w:shd w:val="clear" w:color="auto" w:fill="auto"/>
            <w:noWrap/>
            <w:vAlign w:val="bottom"/>
            <w:hideMark/>
          </w:tcPr>
          <w:p w14:paraId="629C74D9"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0.7598</w:t>
            </w:r>
          </w:p>
        </w:tc>
        <w:tc>
          <w:tcPr>
            <w:tcW w:w="1284" w:type="dxa"/>
            <w:tcBorders>
              <w:top w:val="nil"/>
              <w:left w:val="nil"/>
              <w:bottom w:val="nil"/>
              <w:right w:val="nil"/>
            </w:tcBorders>
            <w:shd w:val="clear" w:color="auto" w:fill="auto"/>
            <w:noWrap/>
            <w:vAlign w:val="bottom"/>
            <w:hideMark/>
          </w:tcPr>
          <w:p w14:paraId="273B975A"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1.2182</w:t>
            </w:r>
          </w:p>
        </w:tc>
        <w:tc>
          <w:tcPr>
            <w:tcW w:w="1284" w:type="dxa"/>
            <w:tcBorders>
              <w:top w:val="nil"/>
              <w:left w:val="nil"/>
              <w:bottom w:val="nil"/>
              <w:right w:val="nil"/>
            </w:tcBorders>
            <w:shd w:val="clear" w:color="auto" w:fill="auto"/>
            <w:noWrap/>
            <w:vAlign w:val="bottom"/>
            <w:hideMark/>
          </w:tcPr>
          <w:p w14:paraId="342A2E77"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2D662B3B" w14:textId="77777777" w:rsidTr="006A6076">
        <w:trPr>
          <w:trHeight w:val="260"/>
        </w:trPr>
        <w:tc>
          <w:tcPr>
            <w:tcW w:w="1569" w:type="dxa"/>
            <w:tcBorders>
              <w:top w:val="nil"/>
              <w:left w:val="nil"/>
              <w:bottom w:val="nil"/>
              <w:right w:val="nil"/>
            </w:tcBorders>
            <w:shd w:val="clear" w:color="auto" w:fill="auto"/>
            <w:noWrap/>
            <w:vAlign w:val="bottom"/>
            <w:hideMark/>
          </w:tcPr>
          <w:p w14:paraId="6A77A0E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20.05.2022</w:t>
            </w:r>
          </w:p>
        </w:tc>
        <w:tc>
          <w:tcPr>
            <w:tcW w:w="979" w:type="dxa"/>
            <w:tcBorders>
              <w:top w:val="nil"/>
              <w:left w:val="nil"/>
              <w:bottom w:val="nil"/>
              <w:right w:val="nil"/>
            </w:tcBorders>
            <w:shd w:val="clear" w:color="auto" w:fill="auto"/>
            <w:noWrap/>
            <w:vAlign w:val="bottom"/>
            <w:hideMark/>
          </w:tcPr>
          <w:p w14:paraId="0A6562F7"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1.0290</w:t>
            </w:r>
          </w:p>
        </w:tc>
        <w:tc>
          <w:tcPr>
            <w:tcW w:w="1042" w:type="dxa"/>
            <w:tcBorders>
              <w:top w:val="nil"/>
              <w:left w:val="nil"/>
              <w:bottom w:val="nil"/>
              <w:right w:val="nil"/>
            </w:tcBorders>
            <w:shd w:val="clear" w:color="auto" w:fill="auto"/>
            <w:noWrap/>
            <w:vAlign w:val="bottom"/>
            <w:hideMark/>
          </w:tcPr>
          <w:p w14:paraId="6E92606A"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0.9728</w:t>
            </w:r>
          </w:p>
        </w:tc>
        <w:tc>
          <w:tcPr>
            <w:tcW w:w="1042" w:type="dxa"/>
            <w:tcBorders>
              <w:top w:val="nil"/>
              <w:left w:val="nil"/>
              <w:bottom w:val="nil"/>
              <w:right w:val="nil"/>
            </w:tcBorders>
            <w:shd w:val="clear" w:color="auto" w:fill="auto"/>
            <w:noWrap/>
            <w:vAlign w:val="bottom"/>
            <w:hideMark/>
          </w:tcPr>
          <w:p w14:paraId="0089B5AD"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0.7596</w:t>
            </w:r>
          </w:p>
        </w:tc>
        <w:tc>
          <w:tcPr>
            <w:tcW w:w="1284" w:type="dxa"/>
            <w:tcBorders>
              <w:top w:val="nil"/>
              <w:left w:val="nil"/>
              <w:bottom w:val="nil"/>
              <w:right w:val="nil"/>
            </w:tcBorders>
            <w:shd w:val="clear" w:color="auto" w:fill="auto"/>
            <w:noWrap/>
            <w:vAlign w:val="bottom"/>
            <w:hideMark/>
          </w:tcPr>
          <w:p w14:paraId="3E0B685E"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1.2147</w:t>
            </w:r>
          </w:p>
        </w:tc>
        <w:tc>
          <w:tcPr>
            <w:tcW w:w="1284" w:type="dxa"/>
            <w:tcBorders>
              <w:top w:val="nil"/>
              <w:left w:val="nil"/>
              <w:bottom w:val="nil"/>
              <w:right w:val="nil"/>
            </w:tcBorders>
            <w:shd w:val="clear" w:color="auto" w:fill="auto"/>
            <w:noWrap/>
            <w:vAlign w:val="bottom"/>
            <w:hideMark/>
          </w:tcPr>
          <w:p w14:paraId="56AFB2AB"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6A5A9020" w14:textId="77777777" w:rsidTr="006A6076">
        <w:trPr>
          <w:trHeight w:val="260"/>
        </w:trPr>
        <w:tc>
          <w:tcPr>
            <w:tcW w:w="1569" w:type="dxa"/>
            <w:tcBorders>
              <w:top w:val="nil"/>
              <w:left w:val="nil"/>
              <w:bottom w:val="nil"/>
              <w:right w:val="nil"/>
            </w:tcBorders>
            <w:shd w:val="clear" w:color="auto" w:fill="auto"/>
            <w:noWrap/>
            <w:vAlign w:val="bottom"/>
            <w:hideMark/>
          </w:tcPr>
          <w:p w14:paraId="4395397F"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19.05.2022</w:t>
            </w:r>
          </w:p>
        </w:tc>
        <w:tc>
          <w:tcPr>
            <w:tcW w:w="979" w:type="dxa"/>
            <w:tcBorders>
              <w:top w:val="nil"/>
              <w:left w:val="nil"/>
              <w:bottom w:val="nil"/>
              <w:right w:val="nil"/>
            </w:tcBorders>
            <w:shd w:val="clear" w:color="auto" w:fill="auto"/>
            <w:noWrap/>
            <w:vAlign w:val="bottom"/>
            <w:hideMark/>
          </w:tcPr>
          <w:p w14:paraId="4ECB866A"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1.0251</w:t>
            </w:r>
          </w:p>
        </w:tc>
        <w:tc>
          <w:tcPr>
            <w:tcW w:w="1042" w:type="dxa"/>
            <w:tcBorders>
              <w:top w:val="nil"/>
              <w:left w:val="nil"/>
              <w:bottom w:val="nil"/>
              <w:right w:val="nil"/>
            </w:tcBorders>
            <w:shd w:val="clear" w:color="auto" w:fill="auto"/>
            <w:noWrap/>
            <w:vAlign w:val="bottom"/>
            <w:hideMark/>
          </w:tcPr>
          <w:p w14:paraId="70F08312"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0.9764</w:t>
            </w:r>
          </w:p>
        </w:tc>
        <w:tc>
          <w:tcPr>
            <w:tcW w:w="1042" w:type="dxa"/>
            <w:tcBorders>
              <w:top w:val="nil"/>
              <w:left w:val="nil"/>
              <w:bottom w:val="nil"/>
              <w:right w:val="nil"/>
            </w:tcBorders>
            <w:shd w:val="clear" w:color="auto" w:fill="auto"/>
            <w:noWrap/>
            <w:vAlign w:val="bottom"/>
            <w:hideMark/>
          </w:tcPr>
          <w:p w14:paraId="55E13F53"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0.7636</w:t>
            </w:r>
          </w:p>
        </w:tc>
        <w:tc>
          <w:tcPr>
            <w:tcW w:w="1284" w:type="dxa"/>
            <w:tcBorders>
              <w:top w:val="nil"/>
              <w:left w:val="nil"/>
              <w:bottom w:val="nil"/>
              <w:right w:val="nil"/>
            </w:tcBorders>
            <w:shd w:val="clear" w:color="auto" w:fill="auto"/>
            <w:noWrap/>
            <w:vAlign w:val="bottom"/>
            <w:hideMark/>
          </w:tcPr>
          <w:p w14:paraId="3D4741AC"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1.2101</w:t>
            </w:r>
          </w:p>
        </w:tc>
        <w:tc>
          <w:tcPr>
            <w:tcW w:w="1284" w:type="dxa"/>
            <w:tcBorders>
              <w:top w:val="nil"/>
              <w:left w:val="nil"/>
              <w:bottom w:val="nil"/>
              <w:right w:val="nil"/>
            </w:tcBorders>
            <w:shd w:val="clear" w:color="auto" w:fill="auto"/>
            <w:noWrap/>
            <w:vAlign w:val="bottom"/>
            <w:hideMark/>
          </w:tcPr>
          <w:p w14:paraId="71AF3A40" w14:textId="77777777" w:rsidR="00D17C67" w:rsidRPr="00465D85" w:rsidRDefault="00D17C67" w:rsidP="006A6076">
            <w:pPr>
              <w:spacing w:before="0"/>
              <w:jc w:val="right"/>
              <w:rPr>
                <w:rFonts w:ascii="Arial" w:eastAsia="Times New Roman" w:hAnsi="Arial" w:cs="Arial"/>
                <w:sz w:val="18"/>
                <w:szCs w:val="18"/>
                <w:lang w:val="de-CH" w:eastAsia="ja-JP"/>
              </w:rPr>
            </w:pPr>
          </w:p>
        </w:tc>
      </w:tr>
      <w:tr w:rsidR="00D17C67" w:rsidRPr="00465D85" w14:paraId="189D03CC" w14:textId="77777777" w:rsidTr="006A6076">
        <w:trPr>
          <w:trHeight w:val="260"/>
        </w:trPr>
        <w:tc>
          <w:tcPr>
            <w:tcW w:w="1569" w:type="dxa"/>
            <w:tcBorders>
              <w:top w:val="nil"/>
              <w:left w:val="nil"/>
              <w:bottom w:val="nil"/>
              <w:right w:val="nil"/>
            </w:tcBorders>
            <w:shd w:val="clear" w:color="auto" w:fill="auto"/>
            <w:noWrap/>
            <w:vAlign w:val="bottom"/>
            <w:hideMark/>
          </w:tcPr>
          <w:p w14:paraId="2F58049A"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18.05.2022</w:t>
            </w:r>
          </w:p>
        </w:tc>
        <w:tc>
          <w:tcPr>
            <w:tcW w:w="979" w:type="dxa"/>
            <w:tcBorders>
              <w:top w:val="nil"/>
              <w:left w:val="nil"/>
              <w:bottom w:val="nil"/>
              <w:right w:val="nil"/>
            </w:tcBorders>
            <w:shd w:val="clear" w:color="auto" w:fill="auto"/>
            <w:noWrap/>
            <w:vAlign w:val="bottom"/>
            <w:hideMark/>
          </w:tcPr>
          <w:p w14:paraId="5EB54DC7"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1.0479</w:t>
            </w:r>
          </w:p>
        </w:tc>
        <w:tc>
          <w:tcPr>
            <w:tcW w:w="1042" w:type="dxa"/>
            <w:tcBorders>
              <w:top w:val="nil"/>
              <w:left w:val="nil"/>
              <w:bottom w:val="nil"/>
              <w:right w:val="nil"/>
            </w:tcBorders>
            <w:shd w:val="clear" w:color="auto" w:fill="auto"/>
            <w:noWrap/>
            <w:vAlign w:val="bottom"/>
            <w:hideMark/>
          </w:tcPr>
          <w:p w14:paraId="6C75B038"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0.9972</w:t>
            </w:r>
          </w:p>
        </w:tc>
        <w:tc>
          <w:tcPr>
            <w:tcW w:w="1042" w:type="dxa"/>
            <w:tcBorders>
              <w:top w:val="nil"/>
              <w:left w:val="nil"/>
              <w:bottom w:val="nil"/>
              <w:right w:val="nil"/>
            </w:tcBorders>
            <w:shd w:val="clear" w:color="auto" w:fill="auto"/>
            <w:noWrap/>
            <w:vAlign w:val="bottom"/>
            <w:hideMark/>
          </w:tcPr>
          <w:p w14:paraId="79F647E1"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0.7717</w:t>
            </w:r>
          </w:p>
        </w:tc>
        <w:tc>
          <w:tcPr>
            <w:tcW w:w="1284" w:type="dxa"/>
            <w:tcBorders>
              <w:top w:val="nil"/>
              <w:left w:val="nil"/>
              <w:bottom w:val="nil"/>
              <w:right w:val="nil"/>
            </w:tcBorders>
            <w:shd w:val="clear" w:color="auto" w:fill="auto"/>
            <w:noWrap/>
            <w:vAlign w:val="bottom"/>
            <w:hideMark/>
          </w:tcPr>
          <w:p w14:paraId="78308689" w14:textId="77777777" w:rsidR="00D17C67" w:rsidRPr="00465D85" w:rsidRDefault="00D17C67" w:rsidP="006A6076">
            <w:pPr>
              <w:spacing w:before="0"/>
              <w:jc w:val="right"/>
              <w:rPr>
                <w:rFonts w:ascii="Arial" w:eastAsia="Times New Roman" w:hAnsi="Arial" w:cs="Arial"/>
                <w:sz w:val="18"/>
                <w:szCs w:val="18"/>
                <w:lang w:val="de-CH" w:eastAsia="ja-JP"/>
              </w:rPr>
            </w:pPr>
            <w:r w:rsidRPr="00465D85">
              <w:rPr>
                <w:rFonts w:ascii="Arial" w:eastAsia="Times New Roman" w:hAnsi="Arial" w:cs="Arial"/>
                <w:sz w:val="18"/>
                <w:szCs w:val="18"/>
                <w:lang w:val="de-CH" w:eastAsia="ja-JP"/>
              </w:rPr>
              <w:t>1.2340</w:t>
            </w:r>
          </w:p>
        </w:tc>
        <w:tc>
          <w:tcPr>
            <w:tcW w:w="1284" w:type="dxa"/>
            <w:tcBorders>
              <w:top w:val="nil"/>
              <w:left w:val="nil"/>
              <w:bottom w:val="nil"/>
              <w:right w:val="nil"/>
            </w:tcBorders>
            <w:shd w:val="clear" w:color="auto" w:fill="auto"/>
            <w:noWrap/>
            <w:vAlign w:val="bottom"/>
            <w:hideMark/>
          </w:tcPr>
          <w:p w14:paraId="78A62316" w14:textId="77777777" w:rsidR="00D17C67" w:rsidRPr="00465D85" w:rsidRDefault="00D17C67" w:rsidP="006A6076">
            <w:pPr>
              <w:spacing w:before="0"/>
              <w:jc w:val="right"/>
              <w:rPr>
                <w:rFonts w:ascii="Arial" w:eastAsia="Times New Roman" w:hAnsi="Arial" w:cs="Arial"/>
                <w:sz w:val="18"/>
                <w:szCs w:val="18"/>
                <w:lang w:val="de-CH" w:eastAsia="ja-JP"/>
              </w:rPr>
            </w:pPr>
          </w:p>
        </w:tc>
      </w:tr>
    </w:tbl>
    <w:p w14:paraId="5AA765E0" w14:textId="77777777" w:rsidR="00D17C67" w:rsidRPr="00605ABF" w:rsidRDefault="00D17C67" w:rsidP="00605ABF">
      <w:pPr>
        <w:rPr>
          <w:rFonts w:ascii="Arial" w:hAnsi="Arial" w:cs="Arial"/>
          <w:sz w:val="18"/>
          <w:szCs w:val="18"/>
          <w:lang w:val="en-GB"/>
        </w:rPr>
      </w:pPr>
      <w:r w:rsidRPr="00605ABF">
        <w:rPr>
          <w:rFonts w:ascii="Arial" w:hAnsi="Arial" w:cs="Arial"/>
          <w:sz w:val="18"/>
          <w:szCs w:val="18"/>
          <w:lang w:val="en-GB"/>
        </w:rPr>
        <w:t>Many market practices for client-to-bank interaction are using the same currency exchange methods as their respective regulator, national bank or common usage.</w:t>
      </w:r>
    </w:p>
    <w:p w14:paraId="62FC2820" w14:textId="77777777" w:rsidR="00D17C67" w:rsidRPr="00605ABF" w:rsidRDefault="00D17C67" w:rsidP="00605ABF">
      <w:pPr>
        <w:rPr>
          <w:rFonts w:ascii="Arial" w:hAnsi="Arial" w:cs="Arial"/>
          <w:sz w:val="18"/>
          <w:szCs w:val="18"/>
          <w:lang w:val="en-GB"/>
        </w:rPr>
      </w:pPr>
      <w:r w:rsidRPr="00605ABF">
        <w:rPr>
          <w:rFonts w:ascii="Arial" w:hAnsi="Arial" w:cs="Arial"/>
          <w:sz w:val="18"/>
          <w:szCs w:val="18"/>
          <w:lang w:val="en-GB"/>
        </w:rPr>
        <w:t>Example:</w:t>
      </w:r>
    </w:p>
    <w:p w14:paraId="7E9C4716" w14:textId="77777777" w:rsidR="00D17C67" w:rsidRPr="00605ABF" w:rsidRDefault="00D17C67" w:rsidP="00605ABF">
      <w:pPr>
        <w:rPr>
          <w:rFonts w:ascii="Arial" w:hAnsi="Arial" w:cs="Arial"/>
          <w:sz w:val="18"/>
          <w:szCs w:val="18"/>
          <w:lang w:val="en-GB"/>
        </w:rPr>
      </w:pPr>
      <w:r w:rsidRPr="00605ABF">
        <w:rPr>
          <w:rFonts w:ascii="Arial" w:hAnsi="Arial" w:cs="Arial"/>
          <w:sz w:val="18"/>
          <w:szCs w:val="18"/>
          <w:lang w:val="en-GB"/>
        </w:rPr>
        <w:t>30’000 JPY (booked)</w:t>
      </w:r>
      <w:r w:rsidRPr="00605ABF">
        <w:rPr>
          <w:rFonts w:ascii="Arial" w:hAnsi="Arial" w:cs="Arial"/>
          <w:sz w:val="18"/>
          <w:szCs w:val="18"/>
          <w:lang w:val="en-GB"/>
        </w:rPr>
        <w:br/>
        <w:t>225.51 CHF (</w:t>
      </w:r>
      <w:r w:rsidRPr="00605ABF">
        <w:rPr>
          <w:rFonts w:ascii="Arial" w:hAnsi="Arial" w:cs="Arial"/>
          <w:sz w:val="18"/>
          <w:szCs w:val="18"/>
          <w:lang w:val="en-GB"/>
        </w:rPr>
        <w:br/>
        <w:t>Exchange rate 0.0</w:t>
      </w:r>
      <w:r w:rsidRPr="00605ABF">
        <w:rPr>
          <w:rFonts w:ascii="Arial" w:hAnsi="Arial" w:cs="Arial"/>
          <w:color w:val="FF0000"/>
          <w:sz w:val="18"/>
          <w:szCs w:val="18"/>
          <w:lang w:val="en-GB"/>
        </w:rPr>
        <w:t>07517</w:t>
      </w:r>
      <w:r w:rsidRPr="00605ABF">
        <w:rPr>
          <w:rFonts w:ascii="Arial" w:hAnsi="Arial" w:cs="Arial"/>
          <w:sz w:val="18"/>
          <w:szCs w:val="18"/>
          <w:lang w:val="en-GB"/>
        </w:rPr>
        <w:br/>
        <w:t>Unit Currency CHF</w:t>
      </w:r>
      <w:r w:rsidRPr="00605ABF">
        <w:rPr>
          <w:rFonts w:ascii="Arial" w:hAnsi="Arial" w:cs="Arial"/>
          <w:sz w:val="18"/>
          <w:szCs w:val="18"/>
          <w:lang w:val="en-GB"/>
        </w:rPr>
        <w:br/>
        <w:t>Exchange Base 1</w:t>
      </w:r>
    </w:p>
    <w:p w14:paraId="4C6013AC" w14:textId="77777777" w:rsidR="00D17C67" w:rsidRPr="00605ABF" w:rsidRDefault="00D17C67" w:rsidP="00605ABF">
      <w:pPr>
        <w:rPr>
          <w:rFonts w:ascii="Arial" w:hAnsi="Arial" w:cs="Arial"/>
          <w:i/>
          <w:iCs/>
          <w:sz w:val="18"/>
          <w:szCs w:val="18"/>
          <w:lang w:val="en-GB"/>
        </w:rPr>
      </w:pPr>
      <w:r w:rsidRPr="00605ABF">
        <w:rPr>
          <w:rFonts w:ascii="Arial" w:hAnsi="Arial" w:cs="Arial"/>
          <w:i/>
          <w:iCs/>
          <w:sz w:val="18"/>
          <w:szCs w:val="18"/>
          <w:lang w:val="en-GB"/>
        </w:rPr>
        <w:t>225.51/0.007517=30000</w:t>
      </w:r>
    </w:p>
    <w:p w14:paraId="1CDF90EB" w14:textId="77777777" w:rsidR="00D17C67" w:rsidRPr="00605ABF" w:rsidRDefault="00D17C67" w:rsidP="00605ABF">
      <w:pPr>
        <w:rPr>
          <w:rFonts w:ascii="Arial" w:hAnsi="Arial" w:cs="Arial"/>
          <w:sz w:val="18"/>
          <w:szCs w:val="18"/>
          <w:lang w:val="en-GB"/>
        </w:rPr>
      </w:pPr>
      <w:r w:rsidRPr="00605ABF">
        <w:rPr>
          <w:rFonts w:ascii="Arial" w:hAnsi="Arial" w:cs="Arial"/>
          <w:sz w:val="18"/>
          <w:szCs w:val="18"/>
          <w:lang w:val="en-GB"/>
        </w:rPr>
        <w:t>30’000 JPY</w:t>
      </w:r>
      <w:r w:rsidRPr="00605ABF">
        <w:rPr>
          <w:rFonts w:ascii="Arial" w:hAnsi="Arial" w:cs="Arial"/>
          <w:sz w:val="18"/>
          <w:szCs w:val="18"/>
          <w:lang w:val="en-GB"/>
        </w:rPr>
        <w:br/>
        <w:t>225.51 CHF</w:t>
      </w:r>
      <w:r w:rsidRPr="00605ABF">
        <w:rPr>
          <w:rFonts w:ascii="Arial" w:hAnsi="Arial" w:cs="Arial"/>
          <w:sz w:val="18"/>
          <w:szCs w:val="18"/>
          <w:lang w:val="en-GB"/>
        </w:rPr>
        <w:br/>
        <w:t xml:space="preserve">Exchange rate </w:t>
      </w:r>
      <w:r w:rsidRPr="00605ABF">
        <w:rPr>
          <w:rFonts w:ascii="Arial" w:hAnsi="Arial" w:cs="Arial"/>
          <w:color w:val="FF0000"/>
          <w:sz w:val="18"/>
          <w:szCs w:val="18"/>
          <w:lang w:val="en-GB"/>
        </w:rPr>
        <w:t>0.7517</w:t>
      </w:r>
      <w:r w:rsidRPr="00605ABF">
        <w:rPr>
          <w:rFonts w:ascii="Arial" w:hAnsi="Arial" w:cs="Arial"/>
          <w:sz w:val="18"/>
          <w:szCs w:val="18"/>
          <w:lang w:val="en-GB"/>
        </w:rPr>
        <w:br/>
        <w:t>Unit Currency CHF</w:t>
      </w:r>
      <w:r w:rsidRPr="00605ABF">
        <w:rPr>
          <w:rFonts w:ascii="Arial" w:hAnsi="Arial" w:cs="Arial"/>
          <w:sz w:val="18"/>
          <w:szCs w:val="18"/>
          <w:lang w:val="en-GB"/>
        </w:rPr>
        <w:br/>
        <w:t xml:space="preserve">Exchange Base </w:t>
      </w:r>
      <w:r w:rsidRPr="00605ABF">
        <w:rPr>
          <w:rFonts w:ascii="Arial" w:hAnsi="Arial" w:cs="Arial"/>
          <w:color w:val="70AD47" w:themeColor="accent6"/>
          <w:sz w:val="18"/>
          <w:szCs w:val="18"/>
          <w:lang w:val="en-GB"/>
        </w:rPr>
        <w:t>100</w:t>
      </w:r>
      <w:r w:rsidRPr="00605ABF">
        <w:rPr>
          <w:rFonts w:ascii="Arial" w:hAnsi="Arial" w:cs="Arial"/>
          <w:sz w:val="18"/>
          <w:szCs w:val="18"/>
          <w:lang w:val="en-GB"/>
        </w:rPr>
        <w:t xml:space="preserve"> (1 CHF to </w:t>
      </w:r>
      <w:r w:rsidRPr="00605ABF">
        <w:rPr>
          <w:rFonts w:ascii="Arial" w:hAnsi="Arial" w:cs="Arial"/>
          <w:color w:val="70AD47" w:themeColor="accent6"/>
          <w:sz w:val="18"/>
          <w:szCs w:val="18"/>
          <w:lang w:val="en-GB"/>
        </w:rPr>
        <w:t>100</w:t>
      </w:r>
      <w:r w:rsidRPr="00605ABF">
        <w:rPr>
          <w:rFonts w:ascii="Arial" w:hAnsi="Arial" w:cs="Arial"/>
          <w:sz w:val="18"/>
          <w:szCs w:val="18"/>
          <w:lang w:val="en-GB"/>
        </w:rPr>
        <w:t xml:space="preserve"> JPY)</w:t>
      </w:r>
    </w:p>
    <w:p w14:paraId="47C73C45" w14:textId="77777777" w:rsidR="00D17C67" w:rsidRPr="00605ABF" w:rsidRDefault="00D17C67" w:rsidP="00605ABF">
      <w:pPr>
        <w:rPr>
          <w:rFonts w:ascii="Arial" w:hAnsi="Arial" w:cs="Arial"/>
          <w:i/>
          <w:iCs/>
          <w:sz w:val="18"/>
          <w:szCs w:val="18"/>
          <w:lang w:val="en-GB"/>
        </w:rPr>
      </w:pPr>
      <w:r w:rsidRPr="00605ABF">
        <w:rPr>
          <w:rFonts w:ascii="Arial" w:hAnsi="Arial" w:cs="Arial"/>
          <w:i/>
          <w:iCs/>
          <w:sz w:val="18"/>
          <w:szCs w:val="18"/>
          <w:lang w:val="en-GB"/>
        </w:rPr>
        <w:t>225.51/0.7517*</w:t>
      </w:r>
      <w:r w:rsidRPr="00605ABF">
        <w:rPr>
          <w:rFonts w:ascii="Arial" w:hAnsi="Arial" w:cs="Arial"/>
          <w:i/>
          <w:iCs/>
          <w:color w:val="70AD47" w:themeColor="accent6"/>
          <w:sz w:val="18"/>
          <w:szCs w:val="18"/>
          <w:lang w:val="en-GB"/>
        </w:rPr>
        <w:t>100</w:t>
      </w:r>
      <w:r w:rsidRPr="00605ABF">
        <w:rPr>
          <w:rFonts w:ascii="Arial" w:hAnsi="Arial" w:cs="Arial"/>
          <w:i/>
          <w:iCs/>
          <w:sz w:val="18"/>
          <w:szCs w:val="18"/>
          <w:lang w:val="en-GB"/>
        </w:rPr>
        <w:t>=30000</w:t>
      </w:r>
    </w:p>
    <w:p w14:paraId="4160060C" w14:textId="77777777" w:rsidR="00D17C67" w:rsidRPr="00605ABF" w:rsidRDefault="00D17C67" w:rsidP="00605ABF">
      <w:pPr>
        <w:rPr>
          <w:rFonts w:ascii="Arial" w:hAnsi="Arial" w:cs="Arial"/>
          <w:b/>
          <w:bCs/>
          <w:sz w:val="18"/>
          <w:szCs w:val="18"/>
          <w:lang w:val="en-GB"/>
        </w:rPr>
      </w:pPr>
      <w:r w:rsidRPr="00605ABF">
        <w:rPr>
          <w:rFonts w:ascii="Arial" w:hAnsi="Arial" w:cs="Arial"/>
          <w:b/>
          <w:bCs/>
          <w:sz w:val="18"/>
          <w:szCs w:val="18"/>
          <w:lang w:val="en-GB"/>
        </w:rPr>
        <w:t xml:space="preserve">Usage: </w:t>
      </w:r>
    </w:p>
    <w:p w14:paraId="1BD4D22E" w14:textId="50E32779" w:rsidR="00D17C67" w:rsidRPr="00605ABF" w:rsidRDefault="00D17C67" w:rsidP="00605ABF">
      <w:pPr>
        <w:rPr>
          <w:rFonts w:ascii="Arial" w:hAnsi="Arial" w:cs="Arial"/>
          <w:sz w:val="18"/>
          <w:szCs w:val="18"/>
          <w:lang w:val="en-GB"/>
        </w:rPr>
      </w:pPr>
      <w:r w:rsidRPr="00605ABF">
        <w:rPr>
          <w:rFonts w:ascii="Arial" w:hAnsi="Arial" w:cs="Arial"/>
          <w:sz w:val="18"/>
          <w:szCs w:val="18"/>
          <w:lang w:val="en-GB"/>
        </w:rPr>
        <w:t xml:space="preserve">Currenttly: </w:t>
      </w:r>
      <w:r w:rsidRPr="00605ABF">
        <w:rPr>
          <w:rFonts w:ascii="Arial" w:hAnsi="Arial" w:cs="Arial"/>
          <w:sz w:val="18"/>
          <w:szCs w:val="18"/>
          <w:lang w:val="en-GB"/>
        </w:rPr>
        <w:br/>
        <w:t>ExchangeRate expresses the ratio between UnitCurrency and QuotedCurrency (ExchangeRate = UnitCurrency/QuotedCurrency).</w:t>
      </w:r>
      <w:r w:rsidRPr="00605ABF">
        <w:rPr>
          <w:rFonts w:ascii="Arial" w:hAnsi="Arial" w:cs="Arial"/>
          <w:sz w:val="18"/>
          <w:szCs w:val="18"/>
          <w:lang w:val="en-GB"/>
        </w:rPr>
        <w:br/>
      </w:r>
      <w:r w:rsidRPr="00605ABF">
        <w:rPr>
          <w:rFonts w:ascii="Arial" w:hAnsi="Arial" w:cs="Arial"/>
          <w:sz w:val="18"/>
          <w:szCs w:val="18"/>
          <w:lang w:val="en-GB"/>
        </w:rPr>
        <w:br/>
        <w:t>Added:</w:t>
      </w:r>
      <w:r w:rsidRPr="00605ABF">
        <w:rPr>
          <w:rFonts w:ascii="Arial" w:hAnsi="Arial" w:cs="Arial"/>
          <w:sz w:val="18"/>
          <w:szCs w:val="18"/>
          <w:lang w:val="en-GB"/>
        </w:rPr>
        <w:br/>
        <w:t xml:space="preserve">ExchangeBase expresses the ratio between the base of the </w:t>
      </w:r>
      <w:r w:rsidR="00824F5C">
        <w:rPr>
          <w:rFonts w:ascii="Arial" w:hAnsi="Arial" w:cs="Arial"/>
          <w:sz w:val="18"/>
          <w:szCs w:val="18"/>
          <w:lang w:val="en-GB"/>
        </w:rPr>
        <w:t xml:space="preserve">denomination of the </w:t>
      </w:r>
      <w:r w:rsidRPr="00605ABF">
        <w:rPr>
          <w:rFonts w:ascii="Arial" w:hAnsi="Arial" w:cs="Arial"/>
          <w:sz w:val="18"/>
          <w:szCs w:val="18"/>
          <w:lang w:val="en-GB"/>
        </w:rPr>
        <w:t>UnitCurrency</w:t>
      </w:r>
      <w:r w:rsidR="00824F5C">
        <w:rPr>
          <w:rFonts w:ascii="Arial" w:hAnsi="Arial" w:cs="Arial"/>
          <w:sz w:val="18"/>
          <w:szCs w:val="18"/>
          <w:lang w:val="en-GB"/>
        </w:rPr>
        <w:t xml:space="preserve"> </w:t>
      </w:r>
      <w:r w:rsidRPr="00605ABF">
        <w:rPr>
          <w:rFonts w:ascii="Arial" w:hAnsi="Arial" w:cs="Arial"/>
          <w:sz w:val="18"/>
          <w:szCs w:val="18"/>
          <w:lang w:val="en-GB"/>
        </w:rPr>
        <w:t xml:space="preserve">to the </w:t>
      </w:r>
      <w:r w:rsidR="00824F5C">
        <w:rPr>
          <w:rFonts w:ascii="Arial" w:hAnsi="Arial" w:cs="Arial"/>
          <w:sz w:val="18"/>
          <w:szCs w:val="18"/>
          <w:lang w:val="en-GB"/>
        </w:rPr>
        <w:t>b</w:t>
      </w:r>
      <w:r w:rsidRPr="00605ABF">
        <w:rPr>
          <w:rFonts w:ascii="Arial" w:hAnsi="Arial" w:cs="Arial"/>
          <w:sz w:val="18"/>
          <w:szCs w:val="18"/>
          <w:lang w:val="en-GB"/>
        </w:rPr>
        <w:t xml:space="preserve">ase of the </w:t>
      </w:r>
      <w:r w:rsidR="00144B63">
        <w:rPr>
          <w:rFonts w:ascii="Arial" w:hAnsi="Arial" w:cs="Arial"/>
          <w:sz w:val="18"/>
          <w:szCs w:val="18"/>
          <w:lang w:val="en-GB"/>
        </w:rPr>
        <w:t xml:space="preserve">denominated of the </w:t>
      </w:r>
      <w:r w:rsidRPr="00605ABF">
        <w:rPr>
          <w:rFonts w:ascii="Arial" w:hAnsi="Arial" w:cs="Arial"/>
          <w:sz w:val="18"/>
          <w:szCs w:val="18"/>
          <w:lang w:val="en-GB"/>
        </w:rPr>
        <w:t>Quoted Currency</w:t>
      </w:r>
      <w:r w:rsidR="00144B63">
        <w:rPr>
          <w:rFonts w:ascii="Arial" w:hAnsi="Arial" w:cs="Arial"/>
          <w:sz w:val="18"/>
          <w:szCs w:val="18"/>
          <w:lang w:val="en-GB"/>
        </w:rPr>
        <w:t>.</w:t>
      </w:r>
    </w:p>
    <w:p w14:paraId="4E8FDDB1" w14:textId="77777777" w:rsidR="00D17C67" w:rsidRPr="00605ABF" w:rsidRDefault="00D17C67" w:rsidP="00605ABF">
      <w:pPr>
        <w:rPr>
          <w:lang w:val="en-GB"/>
        </w:rPr>
      </w:pPr>
    </w:p>
    <w:p w14:paraId="6CD4907C" w14:textId="77777777"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14:paraId="31B7CDCD"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735EEDF0"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56BCC625" w14:textId="77777777" w:rsidTr="00130EB9">
        <w:trPr>
          <w:gridAfter w:val="3"/>
          <w:wAfter w:w="5623" w:type="dxa"/>
        </w:trPr>
        <w:tc>
          <w:tcPr>
            <w:tcW w:w="1242" w:type="dxa"/>
            <w:gridSpan w:val="2"/>
          </w:tcPr>
          <w:p w14:paraId="1BDB006F" w14:textId="77777777" w:rsidR="00C40729" w:rsidRPr="00E3221E" w:rsidRDefault="00C40729" w:rsidP="0025138E">
            <w:pPr>
              <w:rPr>
                <w:b/>
                <w:szCs w:val="24"/>
                <w:lang w:val="en-GB"/>
              </w:rPr>
            </w:pPr>
            <w:r w:rsidRPr="00E3221E">
              <w:rPr>
                <w:b/>
                <w:szCs w:val="24"/>
                <w:lang w:val="en-GB"/>
              </w:rPr>
              <w:t>Consider</w:t>
            </w:r>
          </w:p>
        </w:tc>
        <w:tc>
          <w:tcPr>
            <w:tcW w:w="567" w:type="dxa"/>
          </w:tcPr>
          <w:p w14:paraId="3BAC59B2" w14:textId="56A8025D" w:rsidR="00C40729" w:rsidRPr="00AD7CD5" w:rsidRDefault="002B4FE0" w:rsidP="002B4FE0">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DF9E46B" w14:textId="77777777" w:rsidR="00C40729" w:rsidRPr="00E3221E" w:rsidRDefault="00C40729" w:rsidP="0025138E">
            <w:pPr>
              <w:rPr>
                <w:b/>
                <w:szCs w:val="24"/>
                <w:lang w:val="en-GB"/>
              </w:rPr>
            </w:pPr>
            <w:r w:rsidRPr="00E3221E">
              <w:rPr>
                <w:b/>
                <w:szCs w:val="24"/>
                <w:lang w:val="en-GB"/>
              </w:rPr>
              <w:t>Timing</w:t>
            </w:r>
          </w:p>
        </w:tc>
      </w:tr>
      <w:tr w:rsidR="00130EB9" w:rsidRPr="006D7FF8" w14:paraId="683C9A39" w14:textId="77777777" w:rsidTr="00130EB9">
        <w:trPr>
          <w:gridBefore w:val="1"/>
          <w:gridAfter w:val="1"/>
          <w:wBefore w:w="1059" w:type="dxa"/>
          <w:wAfter w:w="945" w:type="dxa"/>
          <w:trHeight w:val="501"/>
        </w:trPr>
        <w:tc>
          <w:tcPr>
            <w:tcW w:w="750" w:type="dxa"/>
            <w:gridSpan w:val="2"/>
            <w:tcBorders>
              <w:left w:val="nil"/>
              <w:bottom w:val="nil"/>
            </w:tcBorders>
          </w:tcPr>
          <w:p w14:paraId="230A5B26" w14:textId="5952CE88" w:rsidR="00130EB9" w:rsidRDefault="00130EB9" w:rsidP="0025138E">
            <w:pPr>
              <w:rPr>
                <w:szCs w:val="24"/>
                <w:lang w:val="en-GB"/>
              </w:rPr>
            </w:pPr>
          </w:p>
        </w:tc>
        <w:tc>
          <w:tcPr>
            <w:tcW w:w="5954" w:type="dxa"/>
            <w:gridSpan w:val="2"/>
          </w:tcPr>
          <w:p w14:paraId="5F57953F"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3E0586ED"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7516014B" w14:textId="77777777" w:rsidR="00130EB9" w:rsidRPr="00AD7CD5" w:rsidRDefault="00130EB9" w:rsidP="0025138E">
            <w:pPr>
              <w:spacing w:before="0"/>
              <w:jc w:val="both"/>
              <w:rPr>
                <w:color w:val="FF0000"/>
                <w:szCs w:val="24"/>
                <w:lang w:val="en-GB"/>
              </w:rPr>
            </w:pPr>
          </w:p>
        </w:tc>
      </w:tr>
      <w:tr w:rsidR="00C40729" w:rsidRPr="006D7FF8" w14:paraId="0F677089" w14:textId="77777777" w:rsidTr="00130EB9">
        <w:trPr>
          <w:gridBefore w:val="1"/>
          <w:gridAfter w:val="1"/>
          <w:wBefore w:w="1059" w:type="dxa"/>
          <w:wAfter w:w="945" w:type="dxa"/>
          <w:trHeight w:val="501"/>
        </w:trPr>
        <w:tc>
          <w:tcPr>
            <w:tcW w:w="750" w:type="dxa"/>
            <w:gridSpan w:val="2"/>
            <w:tcBorders>
              <w:top w:val="nil"/>
              <w:left w:val="nil"/>
              <w:bottom w:val="nil"/>
            </w:tcBorders>
          </w:tcPr>
          <w:p w14:paraId="77F55FD6" w14:textId="77777777" w:rsidR="00C40729" w:rsidRDefault="00C40729" w:rsidP="0025138E">
            <w:pPr>
              <w:spacing w:before="0"/>
              <w:rPr>
                <w:szCs w:val="24"/>
                <w:lang w:val="en-GB"/>
              </w:rPr>
            </w:pPr>
          </w:p>
        </w:tc>
        <w:tc>
          <w:tcPr>
            <w:tcW w:w="5954" w:type="dxa"/>
            <w:gridSpan w:val="2"/>
          </w:tcPr>
          <w:p w14:paraId="1B6A7A7F"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5EEA2763"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7F5E538" w14:textId="77777777" w:rsidR="00C40729" w:rsidRPr="00AD7CD5" w:rsidRDefault="00C40729" w:rsidP="0025138E">
            <w:pPr>
              <w:spacing w:before="0"/>
              <w:jc w:val="center"/>
              <w:rPr>
                <w:color w:val="FF0000"/>
                <w:szCs w:val="24"/>
                <w:lang w:val="en-GB"/>
              </w:rPr>
            </w:pPr>
          </w:p>
        </w:tc>
      </w:tr>
      <w:tr w:rsidR="00C40729" w:rsidRPr="006D7FF8" w14:paraId="72B06A65" w14:textId="77777777" w:rsidTr="00130EB9">
        <w:trPr>
          <w:gridBefore w:val="1"/>
          <w:wBefore w:w="1059" w:type="dxa"/>
          <w:trHeight w:val="511"/>
        </w:trPr>
        <w:tc>
          <w:tcPr>
            <w:tcW w:w="750" w:type="dxa"/>
            <w:gridSpan w:val="2"/>
            <w:tcBorders>
              <w:top w:val="nil"/>
              <w:left w:val="nil"/>
              <w:bottom w:val="nil"/>
            </w:tcBorders>
          </w:tcPr>
          <w:p w14:paraId="0E54ED6C" w14:textId="77777777" w:rsidR="00C40729" w:rsidRDefault="00C40729" w:rsidP="0025138E">
            <w:pPr>
              <w:spacing w:before="0"/>
              <w:rPr>
                <w:szCs w:val="24"/>
                <w:lang w:val="en-GB"/>
              </w:rPr>
            </w:pPr>
          </w:p>
        </w:tc>
        <w:tc>
          <w:tcPr>
            <w:tcW w:w="5954" w:type="dxa"/>
            <w:gridSpan w:val="2"/>
          </w:tcPr>
          <w:p w14:paraId="6B24FDC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529C32C"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E3121D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2DECDB93" w14:textId="77777777" w:rsidR="00C40729" w:rsidRDefault="00C40729" w:rsidP="0025138E">
            <w:pPr>
              <w:ind w:left="360"/>
              <w:jc w:val="both"/>
              <w:rPr>
                <w:szCs w:val="24"/>
                <w:lang w:val="en-GB"/>
              </w:rPr>
            </w:pPr>
          </w:p>
        </w:tc>
      </w:tr>
      <w:tr w:rsidR="00C40729" w:rsidRPr="006D7FF8" w14:paraId="04637B3B" w14:textId="77777777" w:rsidTr="00130EB9">
        <w:trPr>
          <w:gridBefore w:val="1"/>
          <w:wBefore w:w="1059" w:type="dxa"/>
          <w:trHeight w:val="511"/>
        </w:trPr>
        <w:tc>
          <w:tcPr>
            <w:tcW w:w="750" w:type="dxa"/>
            <w:gridSpan w:val="2"/>
            <w:tcBorders>
              <w:top w:val="nil"/>
              <w:left w:val="nil"/>
              <w:bottom w:val="nil"/>
            </w:tcBorders>
          </w:tcPr>
          <w:p w14:paraId="74EE9648" w14:textId="77777777" w:rsidR="00C40729" w:rsidRDefault="00C40729" w:rsidP="0025138E">
            <w:pPr>
              <w:spacing w:before="0"/>
              <w:rPr>
                <w:szCs w:val="24"/>
                <w:lang w:val="en-GB"/>
              </w:rPr>
            </w:pPr>
          </w:p>
        </w:tc>
        <w:tc>
          <w:tcPr>
            <w:tcW w:w="6379" w:type="dxa"/>
            <w:gridSpan w:val="3"/>
          </w:tcPr>
          <w:p w14:paraId="00083016" w14:textId="657AE218" w:rsidR="00C40729" w:rsidRPr="00AD7CD5" w:rsidRDefault="00C40729" w:rsidP="0025138E">
            <w:pPr>
              <w:rPr>
                <w:color w:val="FF0000"/>
                <w:szCs w:val="24"/>
                <w:lang w:val="en-GB"/>
              </w:rPr>
            </w:pPr>
            <w:r>
              <w:rPr>
                <w:szCs w:val="24"/>
                <w:lang w:val="en-GB"/>
              </w:rPr>
              <w:t xml:space="preserve">- </w:t>
            </w:r>
            <w:r>
              <w:rPr>
                <w:b/>
                <w:szCs w:val="24"/>
                <w:lang w:val="en-GB"/>
              </w:rPr>
              <w:t>Other timing:</w:t>
            </w:r>
            <w:r w:rsidR="002B4FE0">
              <w:rPr>
                <w:b/>
                <w:szCs w:val="24"/>
                <w:lang w:val="en-GB"/>
              </w:rPr>
              <w:t xml:space="preserve"> </w:t>
            </w:r>
            <w:r w:rsidR="002B4FE0" w:rsidRPr="002B4FE0">
              <w:rPr>
                <w:bCs/>
                <w:color w:val="FF0000"/>
                <w:szCs w:val="24"/>
                <w:lang w:val="en-GB"/>
              </w:rPr>
              <w:t xml:space="preserve">TBD in MCR </w:t>
            </w:r>
            <w:r w:rsidR="00FE1A41">
              <w:rPr>
                <w:bCs/>
                <w:color w:val="FF0000"/>
                <w:szCs w:val="24"/>
                <w:lang w:val="en-GB"/>
              </w:rPr>
              <w:t>review</w:t>
            </w:r>
          </w:p>
        </w:tc>
        <w:tc>
          <w:tcPr>
            <w:tcW w:w="945" w:type="dxa"/>
            <w:tcBorders>
              <w:top w:val="nil"/>
              <w:bottom w:val="nil"/>
              <w:right w:val="nil"/>
            </w:tcBorders>
          </w:tcPr>
          <w:p w14:paraId="55296D12" w14:textId="77777777" w:rsidR="00C40729" w:rsidRDefault="00C40729" w:rsidP="0025138E">
            <w:pPr>
              <w:ind w:left="360"/>
              <w:jc w:val="both"/>
              <w:rPr>
                <w:szCs w:val="24"/>
                <w:lang w:val="en-GB"/>
              </w:rPr>
            </w:pPr>
          </w:p>
          <w:p w14:paraId="314A2468" w14:textId="77777777" w:rsidR="00C40729" w:rsidRDefault="00C40729" w:rsidP="0025138E">
            <w:pPr>
              <w:ind w:left="360"/>
              <w:jc w:val="both"/>
              <w:rPr>
                <w:szCs w:val="24"/>
                <w:lang w:val="en-GB"/>
              </w:rPr>
            </w:pPr>
          </w:p>
        </w:tc>
      </w:tr>
    </w:tbl>
    <w:p w14:paraId="777B4AEA" w14:textId="77777777" w:rsidR="00C41DDB" w:rsidRDefault="00C41DDB" w:rsidP="00567F13">
      <w:pPr>
        <w:rPr>
          <w:szCs w:val="24"/>
          <w:lang w:val="en-GB"/>
        </w:rPr>
      </w:pPr>
      <w:r>
        <w:rPr>
          <w:szCs w:val="24"/>
          <w:lang w:val="en-GB"/>
        </w:rPr>
        <w:t>Comments:</w:t>
      </w:r>
    </w:p>
    <w:p w14:paraId="4FF5F3F5" w14:textId="77777777" w:rsidR="00C41DDB" w:rsidRDefault="00C41DDB" w:rsidP="00C41DDB">
      <w:pPr>
        <w:rPr>
          <w:szCs w:val="24"/>
          <w:lang w:val="en-GB"/>
        </w:rPr>
      </w:pPr>
    </w:p>
    <w:p w14:paraId="299CEF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344F51AD" w14:textId="77777777" w:rsidTr="00C40729">
        <w:tc>
          <w:tcPr>
            <w:tcW w:w="1242" w:type="dxa"/>
          </w:tcPr>
          <w:p w14:paraId="048C630E" w14:textId="77777777" w:rsidR="00C41DDB" w:rsidRPr="00E3221E" w:rsidRDefault="00C41DDB" w:rsidP="00C41DDB">
            <w:pPr>
              <w:rPr>
                <w:b/>
                <w:szCs w:val="24"/>
                <w:lang w:val="en-GB"/>
              </w:rPr>
            </w:pPr>
            <w:r w:rsidRPr="00E3221E">
              <w:rPr>
                <w:b/>
                <w:szCs w:val="24"/>
                <w:lang w:val="en-GB"/>
              </w:rPr>
              <w:t>Reject</w:t>
            </w:r>
          </w:p>
        </w:tc>
        <w:tc>
          <w:tcPr>
            <w:tcW w:w="567" w:type="dxa"/>
          </w:tcPr>
          <w:p w14:paraId="18C0B793" w14:textId="77777777" w:rsidR="00C41DDB" w:rsidRPr="00AD7CD5" w:rsidRDefault="00C41DDB" w:rsidP="00C41DDB">
            <w:pPr>
              <w:rPr>
                <w:color w:val="FF0000"/>
                <w:szCs w:val="24"/>
                <w:lang w:val="en-GB"/>
              </w:rPr>
            </w:pPr>
          </w:p>
        </w:tc>
      </w:tr>
    </w:tbl>
    <w:p w14:paraId="61FD3A6E"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6869" w14:textId="77777777" w:rsidR="00EF1508" w:rsidRDefault="00EF1508">
      <w:r>
        <w:separator/>
      </w:r>
    </w:p>
  </w:endnote>
  <w:endnote w:type="continuationSeparator" w:id="0">
    <w:p w14:paraId="71D99F65" w14:textId="77777777" w:rsidR="00EF1508" w:rsidRDefault="00EF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84C8" w14:textId="77777777" w:rsidR="008F3D8C" w:rsidRDefault="008F3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3B7" w14:textId="71251672" w:rsidR="00567F13" w:rsidRDefault="00FE1A41">
    <w:pPr>
      <w:pStyle w:val="Footer"/>
      <w:rPr>
        <w:rStyle w:val="PageNumber"/>
      </w:rPr>
    </w:pPr>
    <w:r>
      <w:fldChar w:fldCharType="begin"/>
    </w:r>
    <w:r>
      <w:instrText xml:space="preserve"> FILENAME   \* MERGEFORMAT </w:instrText>
    </w:r>
    <w:r>
      <w:fldChar w:fldCharType="separate"/>
    </w:r>
    <w:r w:rsidR="008F3D8C">
      <w:rPr>
        <w:noProof/>
      </w:rPr>
      <w:t>CR1126_SIXInterbankClearing_B2CCashMngmt_ExchangeBase_v2.docx</w:t>
    </w:r>
    <w:r>
      <w:rPr>
        <w:noProof/>
      </w:rPr>
      <w:fldChar w:fldCharType="end"/>
    </w:r>
    <w:r w:rsidR="00567F13">
      <w:tab/>
    </w:r>
    <w:r w:rsidR="00A74345">
      <w:tab/>
    </w:r>
    <w:r w:rsidR="00567F13">
      <w:t xml:space="preserve">Produced by </w:t>
    </w:r>
    <w:r w:rsidR="00A74345">
      <w:t>SIX Interbank Clearing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415407C5" w14:textId="77777777" w:rsidR="00567F13" w:rsidRDefault="00567F13">
    <w:pPr>
      <w:pStyle w:val="Footer"/>
      <w:rPr>
        <w:rStyle w:val="PageNumber"/>
      </w:rPr>
    </w:pPr>
  </w:p>
  <w:p w14:paraId="4FBAE6CF"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AC49" w14:textId="77777777" w:rsidR="008F3D8C" w:rsidRDefault="008F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D13C" w14:textId="77777777" w:rsidR="00EF1508" w:rsidRDefault="00EF1508">
      <w:r>
        <w:separator/>
      </w:r>
    </w:p>
  </w:footnote>
  <w:footnote w:type="continuationSeparator" w:id="0">
    <w:p w14:paraId="50253590" w14:textId="77777777" w:rsidR="00EF1508" w:rsidRDefault="00EF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E43" w14:textId="77777777" w:rsidR="008F3D8C" w:rsidRDefault="008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3614" w14:textId="476D6B2D" w:rsidR="00E74C04" w:rsidRPr="00801493" w:rsidRDefault="00801493">
    <w:pPr>
      <w:pStyle w:val="Header"/>
      <w:rPr>
        <w:lang w:val="fr-BE"/>
      </w:rPr>
    </w:pPr>
    <w:r>
      <w:rPr>
        <w:lang w:val="fr-BE"/>
      </w:rPr>
      <w:t xml:space="preserve">RA ID : </w:t>
    </w:r>
    <w:r w:rsidR="00126D71">
      <w:rPr>
        <w:lang w:val="fr-BE"/>
      </w:rPr>
      <w:t>CR1126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1FCE" w14:textId="77777777" w:rsidR="008F3D8C" w:rsidRDefault="008F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42D"/>
    <w:rsid w:val="000127ED"/>
    <w:rsid w:val="00021C86"/>
    <w:rsid w:val="0003395A"/>
    <w:rsid w:val="000408BA"/>
    <w:rsid w:val="00041661"/>
    <w:rsid w:val="000558EF"/>
    <w:rsid w:val="0006293F"/>
    <w:rsid w:val="0006566F"/>
    <w:rsid w:val="00070308"/>
    <w:rsid w:val="00080D3A"/>
    <w:rsid w:val="000823AA"/>
    <w:rsid w:val="00082743"/>
    <w:rsid w:val="000837C7"/>
    <w:rsid w:val="00083C96"/>
    <w:rsid w:val="000A172E"/>
    <w:rsid w:val="000A20E4"/>
    <w:rsid w:val="000B65C7"/>
    <w:rsid w:val="000C015D"/>
    <w:rsid w:val="000D5D39"/>
    <w:rsid w:val="000E0D37"/>
    <w:rsid w:val="000E2471"/>
    <w:rsid w:val="000E7941"/>
    <w:rsid w:val="000F3C8B"/>
    <w:rsid w:val="000F43E3"/>
    <w:rsid w:val="00101212"/>
    <w:rsid w:val="00101D5F"/>
    <w:rsid w:val="00103124"/>
    <w:rsid w:val="00105754"/>
    <w:rsid w:val="00121D1D"/>
    <w:rsid w:val="00126D71"/>
    <w:rsid w:val="00130EB9"/>
    <w:rsid w:val="0014379C"/>
    <w:rsid w:val="00144B63"/>
    <w:rsid w:val="00153ED1"/>
    <w:rsid w:val="00161424"/>
    <w:rsid w:val="00163DB3"/>
    <w:rsid w:val="001711D3"/>
    <w:rsid w:val="00185453"/>
    <w:rsid w:val="00185E8E"/>
    <w:rsid w:val="001B1858"/>
    <w:rsid w:val="001D0D1B"/>
    <w:rsid w:val="001D176B"/>
    <w:rsid w:val="001D20B3"/>
    <w:rsid w:val="001E287E"/>
    <w:rsid w:val="001E2B1C"/>
    <w:rsid w:val="001E3BCF"/>
    <w:rsid w:val="00215D63"/>
    <w:rsid w:val="00217122"/>
    <w:rsid w:val="00217AE9"/>
    <w:rsid w:val="00225AA9"/>
    <w:rsid w:val="00230574"/>
    <w:rsid w:val="00231CFF"/>
    <w:rsid w:val="002472D9"/>
    <w:rsid w:val="002509A2"/>
    <w:rsid w:val="0025138E"/>
    <w:rsid w:val="002521C9"/>
    <w:rsid w:val="002711E6"/>
    <w:rsid w:val="002904C8"/>
    <w:rsid w:val="00291B0B"/>
    <w:rsid w:val="002B0567"/>
    <w:rsid w:val="002B4FE0"/>
    <w:rsid w:val="002C60C6"/>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E6F71"/>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65D85"/>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05ABF"/>
    <w:rsid w:val="00610B1B"/>
    <w:rsid w:val="00610F9A"/>
    <w:rsid w:val="006169CC"/>
    <w:rsid w:val="0061786B"/>
    <w:rsid w:val="006316E5"/>
    <w:rsid w:val="00631A43"/>
    <w:rsid w:val="0063312E"/>
    <w:rsid w:val="00633B0A"/>
    <w:rsid w:val="00662F3B"/>
    <w:rsid w:val="006639E4"/>
    <w:rsid w:val="006643DC"/>
    <w:rsid w:val="006A02BC"/>
    <w:rsid w:val="006A7B96"/>
    <w:rsid w:val="006B20DC"/>
    <w:rsid w:val="006D4A37"/>
    <w:rsid w:val="006E2522"/>
    <w:rsid w:val="006E3DEC"/>
    <w:rsid w:val="00706604"/>
    <w:rsid w:val="007118C4"/>
    <w:rsid w:val="007121F2"/>
    <w:rsid w:val="00723DE0"/>
    <w:rsid w:val="00732595"/>
    <w:rsid w:val="0074349F"/>
    <w:rsid w:val="007463B5"/>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1B4C"/>
    <w:rsid w:val="008050F5"/>
    <w:rsid w:val="0081068B"/>
    <w:rsid w:val="00811DCF"/>
    <w:rsid w:val="00812324"/>
    <w:rsid w:val="00814D4C"/>
    <w:rsid w:val="00824F5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D1AA7"/>
    <w:rsid w:val="008F3D8C"/>
    <w:rsid w:val="008F5C90"/>
    <w:rsid w:val="00906C6A"/>
    <w:rsid w:val="00914273"/>
    <w:rsid w:val="00916A80"/>
    <w:rsid w:val="009279BF"/>
    <w:rsid w:val="00936F2C"/>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74345"/>
    <w:rsid w:val="00A91F56"/>
    <w:rsid w:val="00AA5E76"/>
    <w:rsid w:val="00AB3C86"/>
    <w:rsid w:val="00AD7CD5"/>
    <w:rsid w:val="00AE0A90"/>
    <w:rsid w:val="00AE4D14"/>
    <w:rsid w:val="00AE5F5B"/>
    <w:rsid w:val="00AF09E1"/>
    <w:rsid w:val="00AF2EBF"/>
    <w:rsid w:val="00B01132"/>
    <w:rsid w:val="00B06CA8"/>
    <w:rsid w:val="00B21761"/>
    <w:rsid w:val="00B21FA3"/>
    <w:rsid w:val="00B307A7"/>
    <w:rsid w:val="00B30D86"/>
    <w:rsid w:val="00B43BED"/>
    <w:rsid w:val="00B44DEE"/>
    <w:rsid w:val="00B45490"/>
    <w:rsid w:val="00B52038"/>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718B5"/>
    <w:rsid w:val="00C96721"/>
    <w:rsid w:val="00CB683A"/>
    <w:rsid w:val="00CB7C2C"/>
    <w:rsid w:val="00CC062F"/>
    <w:rsid w:val="00CC1768"/>
    <w:rsid w:val="00CC68E1"/>
    <w:rsid w:val="00CD0745"/>
    <w:rsid w:val="00CD363B"/>
    <w:rsid w:val="00CD3C90"/>
    <w:rsid w:val="00CD59B1"/>
    <w:rsid w:val="00CF098A"/>
    <w:rsid w:val="00CF0BAE"/>
    <w:rsid w:val="00CF3041"/>
    <w:rsid w:val="00D123C1"/>
    <w:rsid w:val="00D17C67"/>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3BC"/>
    <w:rsid w:val="00E256FC"/>
    <w:rsid w:val="00E3221E"/>
    <w:rsid w:val="00E37E77"/>
    <w:rsid w:val="00E5111B"/>
    <w:rsid w:val="00E66CF4"/>
    <w:rsid w:val="00E67D1B"/>
    <w:rsid w:val="00E74C04"/>
    <w:rsid w:val="00E7537D"/>
    <w:rsid w:val="00E76E67"/>
    <w:rsid w:val="00E840B6"/>
    <w:rsid w:val="00E845AB"/>
    <w:rsid w:val="00E8579D"/>
    <w:rsid w:val="00E928F1"/>
    <w:rsid w:val="00EA0A58"/>
    <w:rsid w:val="00EA21CC"/>
    <w:rsid w:val="00EA246B"/>
    <w:rsid w:val="00EA3454"/>
    <w:rsid w:val="00EB2786"/>
    <w:rsid w:val="00EB589C"/>
    <w:rsid w:val="00EB6791"/>
    <w:rsid w:val="00EC35A4"/>
    <w:rsid w:val="00EC4454"/>
    <w:rsid w:val="00ED1FC8"/>
    <w:rsid w:val="00ED43BB"/>
    <w:rsid w:val="00EE43B0"/>
    <w:rsid w:val="00EF00CD"/>
    <w:rsid w:val="00EF1508"/>
    <w:rsid w:val="00EF1E93"/>
    <w:rsid w:val="00EF3F75"/>
    <w:rsid w:val="00EF6661"/>
    <w:rsid w:val="00F1269F"/>
    <w:rsid w:val="00F25441"/>
    <w:rsid w:val="00F260BE"/>
    <w:rsid w:val="00F26FB5"/>
    <w:rsid w:val="00F33643"/>
    <w:rsid w:val="00F34C66"/>
    <w:rsid w:val="00F3743B"/>
    <w:rsid w:val="00F521A4"/>
    <w:rsid w:val="00F52C18"/>
    <w:rsid w:val="00F56866"/>
    <w:rsid w:val="00F62A6F"/>
    <w:rsid w:val="00F6410E"/>
    <w:rsid w:val="00F74EB6"/>
    <w:rsid w:val="00F8432C"/>
    <w:rsid w:val="00F8475C"/>
    <w:rsid w:val="00F91D83"/>
    <w:rsid w:val="00F91F93"/>
    <w:rsid w:val="00F93A64"/>
    <w:rsid w:val="00F94A2A"/>
    <w:rsid w:val="00FA112C"/>
    <w:rsid w:val="00FA37A9"/>
    <w:rsid w:val="00FA4636"/>
    <w:rsid w:val="00FB56E2"/>
    <w:rsid w:val="00FC5011"/>
    <w:rsid w:val="00FC7C82"/>
    <w:rsid w:val="00FD0B96"/>
    <w:rsid w:val="00FD54A5"/>
    <w:rsid w:val="00FD58BE"/>
    <w:rsid w:val="00FE1A41"/>
    <w:rsid w:val="00FE6405"/>
    <w:rsid w:val="00FF0E3A"/>
    <w:rsid w:val="00FF4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A9AD51"/>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EF00CD"/>
    <w:rPr>
      <w:color w:val="605E5C"/>
      <w:shd w:val="clear" w:color="auto" w:fill="E1DFDD"/>
    </w:rPr>
  </w:style>
  <w:style w:type="character" w:styleId="FollowedHyperlink">
    <w:name w:val="FollowedHyperlink"/>
    <w:basedOn w:val="DefaultParagraphFont"/>
    <w:rsid w:val="00EF00CD"/>
    <w:rPr>
      <w:color w:val="954F72" w:themeColor="followedHyperlink"/>
      <w:u w:val="single"/>
    </w:rPr>
  </w:style>
  <w:style w:type="paragraph" w:customStyle="1" w:styleId="XMLCode">
    <w:name w:val="XML Code"/>
    <w:basedOn w:val="Normal"/>
    <w:rsid w:val="00F847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before="60" w:after="60"/>
    </w:pPr>
    <w:rPr>
      <w:rFonts w:asciiTheme="minorHAnsi" w:hAnsiTheme="minorHAnsi"/>
      <w:sz w:val="22"/>
      <w:lang w:val="en-GB"/>
    </w:rPr>
  </w:style>
  <w:style w:type="paragraph" w:styleId="ListParagraph">
    <w:name w:val="List Paragraph"/>
    <w:basedOn w:val="Normal"/>
    <w:uiPriority w:val="34"/>
    <w:qFormat/>
    <w:rsid w:val="00D1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76">
      <w:bodyDiv w:val="1"/>
      <w:marLeft w:val="0"/>
      <w:marRight w:val="0"/>
      <w:marTop w:val="0"/>
      <w:marBottom w:val="0"/>
      <w:divBdr>
        <w:top w:val="none" w:sz="0" w:space="0" w:color="auto"/>
        <w:left w:val="none" w:sz="0" w:space="0" w:color="auto"/>
        <w:bottom w:val="none" w:sz="0" w:space="0" w:color="auto"/>
        <w:right w:val="none" w:sz="0" w:space="0" w:color="auto"/>
      </w:divBdr>
    </w:div>
    <w:div w:id="9564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walder@six-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731</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4925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2022-07-07T14:27:00Z</dcterms:created>
  <dcterms:modified xsi:type="dcterms:W3CDTF">2022-07-07T14:50:00Z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2022-05-31T11:09:44Z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a9eba858-a0e8-4633-8814-e3caec9da5be</vt:lpwstr>
  </property>
  <property fmtid="{D5CDD505-2E9C-101B-9397-08002B2CF9AE}" pid="8" name="MSIP_Label_4da52270-6ed3-4abe-ba7c-b9255dadcdf9_ContentBits">
    <vt:lpwstr>2</vt:lpwstr>
  </property>
  <property fmtid="{D5CDD505-2E9C-101B-9397-08002B2CF9AE}" pid="9" name="MSIP_Label_4868b825-edee-44ac-b7a2-e857f0213f31_Enabled">
    <vt:lpwstr>true</vt:lpwstr>
  </property>
  <property fmtid="{D5CDD505-2E9C-101B-9397-08002B2CF9AE}" pid="10" name="MSIP_Label_4868b825-edee-44ac-b7a2-e857f0213f31_SetDate">
    <vt:lpwstr>2022-06-01T07:35:14Z</vt:lpwstr>
  </property>
  <property fmtid="{D5CDD505-2E9C-101B-9397-08002B2CF9AE}" pid="11" name="MSIP_Label_4868b825-edee-44ac-b7a2-e857f0213f31_Method">
    <vt:lpwstr>Standard</vt:lpwstr>
  </property>
  <property fmtid="{D5CDD505-2E9C-101B-9397-08002B2CF9AE}" pid="12" name="MSIP_Label_4868b825-edee-44ac-b7a2-e857f0213f31_Name">
    <vt:lpwstr>Restricted - External</vt:lpwstr>
  </property>
  <property fmtid="{D5CDD505-2E9C-101B-9397-08002B2CF9AE}" pid="13" name="MSIP_Label_4868b825-edee-44ac-b7a2-e857f0213f31_SiteId">
    <vt:lpwstr>45b55e44-3503-4284-bbe1-0e6bf9fa1d0a</vt:lpwstr>
  </property>
  <property fmtid="{D5CDD505-2E9C-101B-9397-08002B2CF9AE}" pid="14" name="MSIP_Label_4868b825-edee-44ac-b7a2-e857f0213f31_ActionId">
    <vt:lpwstr>3807e8e6-8462-4927-a41e-fca9beb489f6</vt:lpwstr>
  </property>
  <property fmtid="{D5CDD505-2E9C-101B-9397-08002B2CF9AE}" pid="15" name="MSIP_Label_4868b825-edee-44ac-b7a2-e857f0213f31_ContentBits">
    <vt:lpwstr>0</vt:lpwstr>
  </property>
</Properties>
</file>