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C2F" w:rsidRPr="00865C2F" w:rsidRDefault="00DD37B4" w:rsidP="00865C2F">
      <w:pPr>
        <w:jc w:val="center"/>
        <w:rPr>
          <w:b/>
          <w:smallCaps/>
          <w:szCs w:val="24"/>
          <w:lang w:val="en-GB"/>
        </w:rPr>
      </w:pPr>
      <w:r>
        <w:rPr>
          <w:b/>
          <w:smallCaps/>
          <w:szCs w:val="24"/>
          <w:lang w:val="en-GB"/>
        </w:rPr>
        <w:t>Change Request</w:t>
      </w:r>
    </w:p>
    <w:p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rsidR="00865C2F" w:rsidRPr="002E3DA9" w:rsidRDefault="0006293F" w:rsidP="00C656B1">
      <w:pPr>
        <w:numPr>
          <w:ilvl w:val="0"/>
          <w:numId w:val="6"/>
        </w:numPr>
        <w:rPr>
          <w:b/>
          <w:sz w:val="22"/>
          <w:szCs w:val="22"/>
          <w:lang w:val="en-GB"/>
        </w:rPr>
      </w:pPr>
      <w:r>
        <w:rPr>
          <w:b/>
          <w:szCs w:val="24"/>
          <w:lang w:val="en-GB"/>
        </w:rPr>
        <w:t xml:space="preserve">Origin of the </w:t>
      </w:r>
      <w:r w:rsidR="00D123C1">
        <w:rPr>
          <w:b/>
          <w:szCs w:val="24"/>
          <w:lang w:val="en-GB"/>
        </w:rPr>
        <w:t>request:</w:t>
      </w:r>
    </w:p>
    <w:p w:rsidR="002E3DA9" w:rsidRDefault="002E3DA9" w:rsidP="008438AF">
      <w:pPr>
        <w:rPr>
          <w:i/>
          <w:sz w:val="22"/>
          <w:szCs w:val="22"/>
          <w:lang w:val="en-GB"/>
        </w:rPr>
      </w:pPr>
    </w:p>
    <w:p w:rsidR="000408BA" w:rsidRPr="002E3DA9" w:rsidRDefault="008438AF" w:rsidP="008438AF">
      <w:pPr>
        <w:rPr>
          <w:sz w:val="22"/>
          <w:szCs w:val="22"/>
          <w:lang w:val="en-GB"/>
        </w:rPr>
      </w:pPr>
      <w:r w:rsidRPr="002E3DA9">
        <w:rPr>
          <w:i/>
          <w:sz w:val="22"/>
          <w:szCs w:val="22"/>
          <w:lang w:val="en-GB"/>
        </w:rPr>
        <w:t>A.1 Submitter</w:t>
      </w:r>
      <w:r w:rsidRPr="002E3DA9">
        <w:rPr>
          <w:sz w:val="22"/>
          <w:szCs w:val="22"/>
          <w:lang w:val="en-GB"/>
        </w:rPr>
        <w:t>:</w:t>
      </w:r>
    </w:p>
    <w:p w:rsidR="003061F6" w:rsidRPr="002E3DA9" w:rsidRDefault="003061F6" w:rsidP="003061F6">
      <w:pPr>
        <w:jc w:val="both"/>
        <w:rPr>
          <w:sz w:val="22"/>
          <w:szCs w:val="22"/>
          <w:lang w:val="en-GB"/>
        </w:rPr>
      </w:pPr>
      <w:r w:rsidRPr="002E3DA9">
        <w:rPr>
          <w:sz w:val="22"/>
          <w:szCs w:val="22"/>
          <w:lang w:val="en-GB"/>
        </w:rPr>
        <w:t xml:space="preserve">- Deutsche Bundesbank, on behalf of the </w:t>
      </w:r>
      <w:proofErr w:type="spellStart"/>
      <w:r w:rsidRPr="002E3DA9">
        <w:rPr>
          <w:sz w:val="22"/>
          <w:szCs w:val="22"/>
          <w:lang w:val="en-GB"/>
        </w:rPr>
        <w:t>Eurosystem</w:t>
      </w:r>
      <w:proofErr w:type="spellEnd"/>
    </w:p>
    <w:p w:rsidR="003061F6" w:rsidRPr="002E3DA9" w:rsidRDefault="003061F6" w:rsidP="00185EB3">
      <w:pPr>
        <w:jc w:val="both"/>
        <w:rPr>
          <w:sz w:val="22"/>
          <w:szCs w:val="22"/>
          <w:lang w:val="en-GB"/>
        </w:rPr>
      </w:pPr>
      <w:r w:rsidRPr="002E3DA9">
        <w:rPr>
          <w:sz w:val="22"/>
          <w:szCs w:val="22"/>
          <w:lang w:val="en-GB"/>
        </w:rPr>
        <w:t>- TARGET2-Securities Project</w:t>
      </w:r>
    </w:p>
    <w:p w:rsidR="008438AF" w:rsidRPr="002E3DA9" w:rsidRDefault="000408BA" w:rsidP="008438AF">
      <w:pPr>
        <w:rPr>
          <w:sz w:val="22"/>
          <w:szCs w:val="22"/>
          <w:lang w:val="en-GB"/>
        </w:rPr>
      </w:pPr>
      <w:r w:rsidRPr="002E3DA9">
        <w:rPr>
          <w:i/>
          <w:sz w:val="22"/>
          <w:szCs w:val="22"/>
          <w:lang w:val="en-GB"/>
        </w:rPr>
        <w:t xml:space="preserve">A.2 </w:t>
      </w:r>
      <w:r w:rsidR="00CC68E1" w:rsidRPr="002E3DA9">
        <w:rPr>
          <w:i/>
          <w:sz w:val="22"/>
          <w:szCs w:val="22"/>
          <w:lang w:val="en-GB"/>
        </w:rPr>
        <w:t>C</w:t>
      </w:r>
      <w:r w:rsidRPr="002E3DA9">
        <w:rPr>
          <w:i/>
          <w:sz w:val="22"/>
          <w:szCs w:val="22"/>
          <w:lang w:val="en-GB"/>
        </w:rPr>
        <w:t>ontact person:</w:t>
      </w:r>
    </w:p>
    <w:p w:rsidR="003061F6" w:rsidRPr="00C14360" w:rsidRDefault="003061F6" w:rsidP="003061F6">
      <w:pPr>
        <w:jc w:val="both"/>
        <w:rPr>
          <w:sz w:val="22"/>
          <w:szCs w:val="22"/>
          <w:lang w:val="de-DE"/>
        </w:rPr>
      </w:pPr>
      <w:r w:rsidRPr="00C14360">
        <w:rPr>
          <w:sz w:val="22"/>
          <w:szCs w:val="22"/>
          <w:lang w:val="de-DE"/>
        </w:rPr>
        <w:t xml:space="preserve">- Alexander </w:t>
      </w:r>
      <w:proofErr w:type="spellStart"/>
      <w:r w:rsidRPr="00C14360">
        <w:rPr>
          <w:sz w:val="22"/>
          <w:szCs w:val="22"/>
          <w:lang w:val="de-DE"/>
        </w:rPr>
        <w:t>Topel</w:t>
      </w:r>
      <w:proofErr w:type="spellEnd"/>
      <w:r w:rsidR="0075618C" w:rsidRPr="00C14360">
        <w:rPr>
          <w:sz w:val="22"/>
          <w:szCs w:val="22"/>
          <w:lang w:val="de-DE"/>
        </w:rPr>
        <w:t xml:space="preserve"> / Julia </w:t>
      </w:r>
      <w:proofErr w:type="spellStart"/>
      <w:r w:rsidR="0075618C" w:rsidRPr="00C14360">
        <w:rPr>
          <w:sz w:val="22"/>
          <w:szCs w:val="22"/>
          <w:lang w:val="de-DE"/>
        </w:rPr>
        <w:t>Lohle</w:t>
      </w:r>
      <w:proofErr w:type="spellEnd"/>
    </w:p>
    <w:p w:rsidR="003061F6" w:rsidRPr="00C14360" w:rsidRDefault="003061F6" w:rsidP="003061F6">
      <w:pPr>
        <w:jc w:val="both"/>
        <w:rPr>
          <w:sz w:val="22"/>
          <w:szCs w:val="22"/>
          <w:lang w:val="de-DE"/>
        </w:rPr>
      </w:pPr>
      <w:r w:rsidRPr="00C14360">
        <w:rPr>
          <w:sz w:val="22"/>
          <w:szCs w:val="22"/>
          <w:lang w:val="de-DE"/>
        </w:rPr>
        <w:t>- +49 69 – 9566 8184</w:t>
      </w:r>
      <w:r w:rsidR="0075618C" w:rsidRPr="00C14360">
        <w:rPr>
          <w:sz w:val="22"/>
          <w:szCs w:val="22"/>
          <w:lang w:val="de-DE"/>
        </w:rPr>
        <w:t xml:space="preserve"> / +49 69 – 9566 8843</w:t>
      </w:r>
    </w:p>
    <w:p w:rsidR="003061F6" w:rsidRPr="00C14360" w:rsidRDefault="003061F6" w:rsidP="00185EB3">
      <w:pPr>
        <w:jc w:val="both"/>
        <w:rPr>
          <w:sz w:val="22"/>
          <w:szCs w:val="22"/>
          <w:lang w:val="de-DE"/>
        </w:rPr>
      </w:pPr>
      <w:r w:rsidRPr="00C14360">
        <w:rPr>
          <w:sz w:val="22"/>
          <w:szCs w:val="22"/>
          <w:lang w:val="de-DE"/>
        </w:rPr>
        <w:t>- T2S-FAM@bundesbank.de</w:t>
      </w:r>
    </w:p>
    <w:p w:rsidR="00577BCC" w:rsidRPr="002E3DA9" w:rsidRDefault="008438AF" w:rsidP="008438AF">
      <w:pPr>
        <w:rPr>
          <w:sz w:val="22"/>
          <w:szCs w:val="22"/>
          <w:lang w:val="en-GB"/>
        </w:rPr>
      </w:pPr>
      <w:r w:rsidRPr="00C14360">
        <w:rPr>
          <w:i/>
          <w:sz w:val="22"/>
          <w:szCs w:val="22"/>
          <w:lang w:val="de-DE"/>
        </w:rPr>
        <w:t xml:space="preserve"> </w:t>
      </w:r>
      <w:r w:rsidRPr="002E3DA9">
        <w:rPr>
          <w:i/>
          <w:sz w:val="22"/>
          <w:szCs w:val="22"/>
          <w:lang w:val="en-GB"/>
        </w:rPr>
        <w:t>A.</w:t>
      </w:r>
      <w:r w:rsidR="000408BA" w:rsidRPr="002E3DA9">
        <w:rPr>
          <w:i/>
          <w:sz w:val="22"/>
          <w:szCs w:val="22"/>
          <w:lang w:val="en-GB"/>
        </w:rPr>
        <w:t>3</w:t>
      </w:r>
      <w:r w:rsidRPr="002E3DA9">
        <w:rPr>
          <w:i/>
          <w:sz w:val="22"/>
          <w:szCs w:val="22"/>
          <w:lang w:val="en-GB"/>
        </w:rPr>
        <w:t xml:space="preserve"> </w:t>
      </w:r>
      <w:r w:rsidR="0006293F" w:rsidRPr="002E3DA9">
        <w:rPr>
          <w:i/>
          <w:sz w:val="22"/>
          <w:szCs w:val="22"/>
          <w:lang w:val="en-GB"/>
        </w:rPr>
        <w:t>Sponsors</w:t>
      </w:r>
      <w:r w:rsidR="0006293F" w:rsidRPr="002E3DA9">
        <w:rPr>
          <w:sz w:val="22"/>
          <w:szCs w:val="22"/>
          <w:lang w:val="en-GB"/>
        </w:rPr>
        <w:t>:</w:t>
      </w:r>
      <w:r w:rsidRPr="002E3DA9">
        <w:rPr>
          <w:sz w:val="22"/>
          <w:szCs w:val="22"/>
          <w:lang w:val="en-GB"/>
        </w:rPr>
        <w:t xml:space="preserve"> </w:t>
      </w:r>
    </w:p>
    <w:p w:rsidR="0011460B" w:rsidRPr="002E3DA9" w:rsidRDefault="003061F6" w:rsidP="003061F6">
      <w:pPr>
        <w:jc w:val="both"/>
        <w:rPr>
          <w:sz w:val="22"/>
          <w:szCs w:val="22"/>
          <w:lang w:val="en-GB"/>
        </w:rPr>
      </w:pPr>
      <w:r w:rsidRPr="002E3DA9">
        <w:rPr>
          <w:sz w:val="22"/>
          <w:szCs w:val="22"/>
          <w:lang w:val="en-GB"/>
        </w:rPr>
        <w:t xml:space="preserve">- </w:t>
      </w:r>
      <w:proofErr w:type="spellStart"/>
      <w:r w:rsidR="0011460B" w:rsidRPr="002E3DA9">
        <w:rPr>
          <w:sz w:val="22"/>
          <w:szCs w:val="22"/>
          <w:lang w:val="en-GB"/>
        </w:rPr>
        <w:t>Euroclear</w:t>
      </w:r>
      <w:proofErr w:type="spellEnd"/>
    </w:p>
    <w:p w:rsidR="003061F6" w:rsidRPr="002E3DA9" w:rsidRDefault="0011460B" w:rsidP="003061F6">
      <w:pPr>
        <w:jc w:val="both"/>
        <w:rPr>
          <w:sz w:val="22"/>
          <w:szCs w:val="22"/>
          <w:lang w:val="en-GB"/>
        </w:rPr>
      </w:pPr>
      <w:r w:rsidRPr="002E3DA9">
        <w:rPr>
          <w:sz w:val="22"/>
          <w:szCs w:val="22"/>
          <w:lang w:val="en-GB"/>
        </w:rPr>
        <w:t xml:space="preserve">- </w:t>
      </w:r>
      <w:r w:rsidR="003061F6" w:rsidRPr="002E3DA9">
        <w:rPr>
          <w:sz w:val="22"/>
          <w:szCs w:val="22"/>
          <w:lang w:val="en-GB"/>
        </w:rPr>
        <w:t xml:space="preserve">European Central Bank; Karen </w:t>
      </w:r>
      <w:proofErr w:type="spellStart"/>
      <w:r w:rsidR="003061F6" w:rsidRPr="002E3DA9">
        <w:rPr>
          <w:sz w:val="22"/>
          <w:szCs w:val="22"/>
          <w:lang w:val="en-GB"/>
        </w:rPr>
        <w:t>Birkel</w:t>
      </w:r>
      <w:proofErr w:type="spellEnd"/>
      <w:r w:rsidR="003061F6" w:rsidRPr="002E3DA9">
        <w:rPr>
          <w:sz w:val="22"/>
          <w:szCs w:val="22"/>
          <w:lang w:val="en-GB"/>
        </w:rPr>
        <w:t xml:space="preserve"> - karen.birkel@ecb.int</w:t>
      </w:r>
    </w:p>
    <w:p w:rsidR="003061F6" w:rsidRPr="002E3DA9" w:rsidRDefault="003061F6" w:rsidP="003061F6">
      <w:pPr>
        <w:jc w:val="both"/>
        <w:rPr>
          <w:sz w:val="22"/>
          <w:szCs w:val="22"/>
          <w:lang w:val="en-GB"/>
        </w:rPr>
      </w:pPr>
      <w:r w:rsidRPr="002E3DA9">
        <w:rPr>
          <w:sz w:val="22"/>
          <w:szCs w:val="22"/>
          <w:lang w:val="en-GB"/>
        </w:rPr>
        <w:t>- TARGET2-Securities Community</w:t>
      </w:r>
    </w:p>
    <w:p w:rsidR="003061F6" w:rsidRPr="002E3DA9" w:rsidRDefault="003061F6" w:rsidP="008438AF">
      <w:pPr>
        <w:rPr>
          <w:sz w:val="22"/>
          <w:szCs w:val="22"/>
          <w:lang w:val="en-GB"/>
        </w:rPr>
      </w:pPr>
    </w:p>
    <w:p w:rsidR="00854FA6" w:rsidRPr="002E3DA9" w:rsidRDefault="00854FA6" w:rsidP="00854FA6">
      <w:pPr>
        <w:numPr>
          <w:ilvl w:val="0"/>
          <w:numId w:val="6"/>
        </w:numPr>
        <w:rPr>
          <w:b/>
          <w:sz w:val="22"/>
          <w:szCs w:val="22"/>
          <w:lang w:val="en-GB"/>
        </w:rPr>
      </w:pPr>
      <w:r>
        <w:rPr>
          <w:b/>
          <w:lang w:val="en-GB"/>
        </w:rPr>
        <w:t>Related m</w:t>
      </w:r>
      <w:r w:rsidRPr="00451986">
        <w:rPr>
          <w:b/>
          <w:lang w:val="en-GB"/>
        </w:rPr>
        <w:t>essages:</w:t>
      </w:r>
    </w:p>
    <w:p w:rsidR="0059377D" w:rsidRPr="002E3DA9" w:rsidRDefault="0059377D" w:rsidP="0059377D">
      <w:pPr>
        <w:rPr>
          <w:sz w:val="22"/>
          <w:szCs w:val="22"/>
          <w:lang w:val="en-GB"/>
        </w:rPr>
      </w:pPr>
      <w:r w:rsidRPr="002E3DA9">
        <w:rPr>
          <w:sz w:val="22"/>
          <w:szCs w:val="22"/>
          <w:lang w:val="en-GB"/>
        </w:rPr>
        <w:t xml:space="preserve">- </w:t>
      </w:r>
      <w:r w:rsidR="00C17A7B" w:rsidRPr="002E3DA9">
        <w:rPr>
          <w:sz w:val="22"/>
          <w:szCs w:val="22"/>
          <w:lang w:val="en-GB"/>
        </w:rPr>
        <w:t>s</w:t>
      </w:r>
      <w:r w:rsidRPr="002E3DA9">
        <w:rPr>
          <w:sz w:val="22"/>
          <w:szCs w:val="22"/>
          <w:lang w:val="en-GB"/>
        </w:rPr>
        <w:t>emt.019</w:t>
      </w:r>
      <w:r w:rsidR="00C17A7B" w:rsidRPr="002E3DA9">
        <w:rPr>
          <w:sz w:val="22"/>
          <w:szCs w:val="22"/>
          <w:lang w:val="en-GB"/>
        </w:rPr>
        <w:t>.001.05 - SecuritiesSettlementTransactionAllegementReportV05</w:t>
      </w:r>
    </w:p>
    <w:p w:rsidR="00C17A7B" w:rsidRPr="002E3DA9" w:rsidRDefault="00C17A7B" w:rsidP="00C17A7B">
      <w:pPr>
        <w:rPr>
          <w:sz w:val="22"/>
          <w:szCs w:val="22"/>
          <w:lang w:val="en-GB"/>
        </w:rPr>
      </w:pPr>
      <w:r w:rsidRPr="002E3DA9">
        <w:rPr>
          <w:sz w:val="22"/>
          <w:szCs w:val="22"/>
          <w:lang w:val="en-GB"/>
        </w:rPr>
        <w:t>- sese.028.001.05 - SecuritiesSettlementTransactionAllegementNotificationV05</w:t>
      </w:r>
    </w:p>
    <w:p w:rsidR="00C17A7B" w:rsidRPr="002E3DA9" w:rsidRDefault="00C17A7B" w:rsidP="0059377D">
      <w:pPr>
        <w:rPr>
          <w:sz w:val="22"/>
          <w:szCs w:val="22"/>
          <w:lang w:val="en-GB"/>
        </w:rPr>
      </w:pPr>
    </w:p>
    <w:p w:rsidR="00854FA6" w:rsidRPr="002E3DA9" w:rsidRDefault="006D4A37" w:rsidP="00854FA6">
      <w:pPr>
        <w:numPr>
          <w:ilvl w:val="0"/>
          <w:numId w:val="6"/>
        </w:numPr>
        <w:rPr>
          <w:sz w:val="22"/>
          <w:szCs w:val="22"/>
          <w:lang w:val="en-GB"/>
        </w:rPr>
      </w:pPr>
      <w:r>
        <w:rPr>
          <w:b/>
          <w:lang w:val="en-GB"/>
        </w:rPr>
        <w:t>Description of the change request:</w:t>
      </w:r>
    </w:p>
    <w:p w:rsidR="00185EB3" w:rsidRPr="002E3DA9" w:rsidRDefault="00185EB3" w:rsidP="00185EB3">
      <w:pPr>
        <w:rPr>
          <w:sz w:val="22"/>
          <w:szCs w:val="22"/>
        </w:rPr>
      </w:pPr>
      <w:r w:rsidRPr="002E3DA9">
        <w:rPr>
          <w:sz w:val="22"/>
          <w:szCs w:val="22"/>
        </w:rPr>
        <w:t xml:space="preserve">Some of the ISO </w:t>
      </w:r>
      <w:r w:rsidR="00091BDC">
        <w:rPr>
          <w:sz w:val="22"/>
          <w:szCs w:val="22"/>
        </w:rPr>
        <w:t xml:space="preserve">20022 </w:t>
      </w:r>
      <w:r w:rsidRPr="002E3DA9">
        <w:rPr>
          <w:sz w:val="22"/>
          <w:szCs w:val="22"/>
        </w:rPr>
        <w:t xml:space="preserve">transaction codes used in an incoming Settlement Instruction are not included in the </w:t>
      </w:r>
      <w:r w:rsidR="001438E7">
        <w:rPr>
          <w:sz w:val="22"/>
          <w:szCs w:val="22"/>
        </w:rPr>
        <w:t>two above mentioned</w:t>
      </w:r>
      <w:r w:rsidRPr="002E3DA9">
        <w:rPr>
          <w:sz w:val="22"/>
          <w:szCs w:val="22"/>
        </w:rPr>
        <w:t xml:space="preserve"> ISO </w:t>
      </w:r>
      <w:r w:rsidR="00091BDC">
        <w:rPr>
          <w:sz w:val="22"/>
          <w:szCs w:val="22"/>
        </w:rPr>
        <w:t xml:space="preserve">20022 </w:t>
      </w:r>
      <w:r w:rsidRPr="002E3DA9">
        <w:rPr>
          <w:sz w:val="22"/>
          <w:szCs w:val="22"/>
        </w:rPr>
        <w:t>messages.</w:t>
      </w:r>
    </w:p>
    <w:p w:rsidR="00185EB3" w:rsidRPr="002E3DA9" w:rsidRDefault="00185EB3" w:rsidP="00185EB3">
      <w:pPr>
        <w:rPr>
          <w:sz w:val="22"/>
          <w:szCs w:val="22"/>
        </w:rPr>
      </w:pPr>
      <w:r w:rsidRPr="002E3DA9">
        <w:rPr>
          <w:sz w:val="22"/>
          <w:szCs w:val="22"/>
        </w:rPr>
        <w:t xml:space="preserve">Hence, the </w:t>
      </w:r>
      <w:r w:rsidR="00DF4CA9" w:rsidRPr="002E3DA9">
        <w:rPr>
          <w:sz w:val="22"/>
          <w:szCs w:val="22"/>
        </w:rPr>
        <w:t>“</w:t>
      </w:r>
      <w:r w:rsidRPr="002E3DA9">
        <w:rPr>
          <w:sz w:val="22"/>
          <w:szCs w:val="22"/>
        </w:rPr>
        <w:t>SecuritiesTransactionType7Code</w:t>
      </w:r>
      <w:r w:rsidR="00DF4CA9" w:rsidRPr="002E3DA9">
        <w:rPr>
          <w:sz w:val="22"/>
          <w:szCs w:val="22"/>
        </w:rPr>
        <w:t>”</w:t>
      </w:r>
      <w:r w:rsidRPr="002E3DA9">
        <w:rPr>
          <w:sz w:val="22"/>
          <w:szCs w:val="22"/>
        </w:rPr>
        <w:t xml:space="preserve"> data type used for the sese.023 message (Securities Settlement Transaction Instruction) is not aligned with the data types used for the subsequent related outbound/inbound ISO </w:t>
      </w:r>
      <w:r w:rsidR="00091BDC">
        <w:rPr>
          <w:sz w:val="22"/>
          <w:szCs w:val="22"/>
        </w:rPr>
        <w:t xml:space="preserve">20022 </w:t>
      </w:r>
      <w:r w:rsidRPr="002E3DA9">
        <w:rPr>
          <w:sz w:val="22"/>
          <w:szCs w:val="22"/>
        </w:rPr>
        <w:t>messages and reports.</w:t>
      </w:r>
    </w:p>
    <w:p w:rsidR="00185EB3" w:rsidRPr="002E3DA9" w:rsidRDefault="00185EB3" w:rsidP="00185EB3">
      <w:pPr>
        <w:rPr>
          <w:sz w:val="22"/>
          <w:szCs w:val="22"/>
          <w:u w:val="single"/>
        </w:rPr>
      </w:pPr>
      <w:r w:rsidRPr="002E3DA9">
        <w:rPr>
          <w:sz w:val="22"/>
          <w:szCs w:val="22"/>
          <w:u w:val="single"/>
        </w:rPr>
        <w:t xml:space="preserve">Certain ISO </w:t>
      </w:r>
      <w:r w:rsidR="00091BDC">
        <w:rPr>
          <w:sz w:val="22"/>
          <w:szCs w:val="22"/>
          <w:u w:val="single"/>
        </w:rPr>
        <w:t xml:space="preserve">20022 </w:t>
      </w:r>
      <w:r w:rsidRPr="002E3DA9">
        <w:rPr>
          <w:sz w:val="22"/>
          <w:szCs w:val="22"/>
          <w:u w:val="single"/>
        </w:rPr>
        <w:t xml:space="preserve">transaction codes of the sese.023 are not included in the </w:t>
      </w:r>
      <w:proofErr w:type="spellStart"/>
      <w:r w:rsidRPr="002E3DA9">
        <w:rPr>
          <w:sz w:val="22"/>
          <w:szCs w:val="22"/>
          <w:u w:val="single"/>
        </w:rPr>
        <w:t>allegement</w:t>
      </w:r>
      <w:proofErr w:type="spellEnd"/>
      <w:r w:rsidRPr="002E3DA9">
        <w:rPr>
          <w:sz w:val="22"/>
          <w:szCs w:val="22"/>
          <w:u w:val="single"/>
        </w:rPr>
        <w:t>-related messages</w:t>
      </w:r>
      <w:r w:rsidR="00091BDC">
        <w:rPr>
          <w:sz w:val="22"/>
          <w:szCs w:val="22"/>
          <w:u w:val="single"/>
        </w:rPr>
        <w:t>.</w:t>
      </w:r>
    </w:p>
    <w:p w:rsidR="002E3DA9" w:rsidRPr="002E3DA9" w:rsidRDefault="00185EB3" w:rsidP="00185EB3">
      <w:pPr>
        <w:rPr>
          <w:sz w:val="22"/>
          <w:szCs w:val="22"/>
        </w:rPr>
      </w:pPr>
      <w:r w:rsidRPr="002E3DA9">
        <w:rPr>
          <w:sz w:val="22"/>
          <w:szCs w:val="22"/>
        </w:rPr>
        <w:t>The following ISO</w:t>
      </w:r>
      <w:r w:rsidR="00091BDC">
        <w:rPr>
          <w:sz w:val="22"/>
          <w:szCs w:val="22"/>
        </w:rPr>
        <w:t xml:space="preserve"> 20022</w:t>
      </w:r>
      <w:r w:rsidRPr="002E3DA9">
        <w:rPr>
          <w:sz w:val="22"/>
          <w:szCs w:val="22"/>
        </w:rPr>
        <w:t xml:space="preserve"> transaction codes which are included in the </w:t>
      </w:r>
      <w:r w:rsidR="00091BDC">
        <w:rPr>
          <w:sz w:val="22"/>
          <w:szCs w:val="22"/>
        </w:rPr>
        <w:t>set</w:t>
      </w:r>
      <w:r w:rsidRPr="002E3DA9">
        <w:rPr>
          <w:sz w:val="22"/>
          <w:szCs w:val="22"/>
        </w:rPr>
        <w:t xml:space="preserve"> of valid transaction codes in the incoming Settlement Instruction are not in the scope of the ‘sese.028’ message (Securities Settlement Transaction </w:t>
      </w:r>
      <w:proofErr w:type="spellStart"/>
      <w:r w:rsidRPr="002E3DA9">
        <w:rPr>
          <w:sz w:val="22"/>
          <w:szCs w:val="22"/>
        </w:rPr>
        <w:t>Allegement</w:t>
      </w:r>
      <w:proofErr w:type="spellEnd"/>
      <w:r w:rsidRPr="002E3DA9">
        <w:rPr>
          <w:sz w:val="22"/>
          <w:szCs w:val="22"/>
        </w:rPr>
        <w:t xml:space="preserve"> Notification) and ‘semt.019’ message (Securities Settlement </w:t>
      </w:r>
      <w:r w:rsidR="002E3DA9" w:rsidRPr="002E3DA9">
        <w:rPr>
          <w:sz w:val="22"/>
          <w:szCs w:val="22"/>
        </w:rPr>
        <w:t xml:space="preserve">Transaction </w:t>
      </w:r>
      <w:proofErr w:type="spellStart"/>
      <w:r w:rsidR="002E3DA9" w:rsidRPr="002E3DA9">
        <w:rPr>
          <w:sz w:val="22"/>
          <w:szCs w:val="22"/>
        </w:rPr>
        <w:t>Allegement</w:t>
      </w:r>
      <w:proofErr w:type="spellEnd"/>
      <w:r w:rsidR="002E3DA9" w:rsidRPr="002E3DA9">
        <w:rPr>
          <w:sz w:val="22"/>
          <w:szCs w:val="22"/>
        </w:rPr>
        <w:t xml:space="preserve"> Report).</w:t>
      </w:r>
    </w:p>
    <w:p w:rsidR="002E3DA9" w:rsidRPr="002E3DA9" w:rsidRDefault="002E3DA9" w:rsidP="00185EB3">
      <w:pPr>
        <w:rPr>
          <w:sz w:val="22"/>
          <w:szCs w:val="22"/>
        </w:rPr>
      </w:pPr>
    </w:p>
    <w:p w:rsidR="00185EB3" w:rsidRDefault="002E3DA9" w:rsidP="00185EB3">
      <w:pPr>
        <w:rPr>
          <w:sz w:val="22"/>
          <w:szCs w:val="22"/>
        </w:rPr>
      </w:pPr>
      <w:r w:rsidRPr="002E3DA9">
        <w:rPr>
          <w:sz w:val="22"/>
          <w:szCs w:val="22"/>
        </w:rPr>
        <w:t>The “SecuritiesTransactionType10Code” (used in semt.019 &amp; sese.028) should be enriched with the following codes.</w:t>
      </w:r>
    </w:p>
    <w:p w:rsidR="00E02240" w:rsidRDefault="00E02240" w:rsidP="00185EB3">
      <w:pPr>
        <w:rPr>
          <w:sz w:val="22"/>
          <w:szCs w:val="22"/>
        </w:rPr>
      </w:pPr>
      <w:r>
        <w:rPr>
          <w:sz w:val="22"/>
          <w:szCs w:val="22"/>
        </w:rPr>
        <w:t>The relevant business cases for the codes listed below can be found under section F.</w:t>
      </w:r>
    </w:p>
    <w:p w:rsidR="00E02240" w:rsidRDefault="00E02240" w:rsidP="00185EB3">
      <w:pPr>
        <w:rPr>
          <w:sz w:val="22"/>
          <w:szCs w:val="22"/>
        </w:rPr>
      </w:pPr>
    </w:p>
    <w:tbl>
      <w:tblPr>
        <w:tblW w:w="0" w:type="auto"/>
        <w:tblInd w:w="-261" w:type="dxa"/>
        <w:tblCellMar>
          <w:left w:w="15" w:type="dxa"/>
          <w:right w:w="15" w:type="dxa"/>
        </w:tblCellMar>
        <w:tblLook w:val="00A0" w:firstRow="1" w:lastRow="0" w:firstColumn="1" w:lastColumn="0" w:noHBand="0" w:noVBand="0"/>
      </w:tblPr>
      <w:tblGrid>
        <w:gridCol w:w="2471"/>
        <w:gridCol w:w="6814"/>
      </w:tblGrid>
      <w:tr w:rsidR="00E02240" w:rsidRPr="00DF4CA9" w:rsidTr="00381E4A">
        <w:trPr>
          <w:trHeight w:val="20"/>
        </w:trPr>
        <w:tc>
          <w:tcPr>
            <w:tcW w:w="0" w:type="auto"/>
            <w:tcBorders>
              <w:top w:val="threeDEmboss" w:sz="6" w:space="0" w:color="auto"/>
              <w:left w:val="threeDEmboss" w:sz="6" w:space="0" w:color="auto"/>
              <w:bottom w:val="threeDEmboss" w:sz="6" w:space="0" w:color="auto"/>
              <w:right w:val="threeDEmboss" w:sz="6" w:space="0" w:color="auto"/>
            </w:tcBorders>
          </w:tcPr>
          <w:p w:rsidR="00E02240" w:rsidRPr="00DF4CA9" w:rsidRDefault="00E02240" w:rsidP="00381E4A">
            <w:pPr>
              <w:keepNext/>
              <w:keepLines/>
              <w:ind w:left="30"/>
              <w:jc w:val="center"/>
              <w:rPr>
                <w:b/>
                <w:sz w:val="20"/>
              </w:rPr>
            </w:pPr>
            <w:r w:rsidRPr="00DF4CA9">
              <w:rPr>
                <w:b/>
                <w:sz w:val="20"/>
              </w:rPr>
              <w:lastRenderedPageBreak/>
              <w:t>Securities Transaction type codes</w:t>
            </w:r>
          </w:p>
        </w:tc>
        <w:tc>
          <w:tcPr>
            <w:tcW w:w="0" w:type="auto"/>
            <w:tcBorders>
              <w:top w:val="threeDEmboss" w:sz="6" w:space="0" w:color="auto"/>
              <w:left w:val="threeDEmboss" w:sz="6" w:space="0" w:color="auto"/>
              <w:bottom w:val="threeDEmboss" w:sz="6" w:space="0" w:color="auto"/>
              <w:right w:val="threeDEmboss" w:sz="6" w:space="0" w:color="auto"/>
            </w:tcBorders>
          </w:tcPr>
          <w:p w:rsidR="00E02240" w:rsidRPr="00DF4CA9" w:rsidRDefault="00E02240" w:rsidP="00381E4A">
            <w:pPr>
              <w:jc w:val="center"/>
              <w:rPr>
                <w:b/>
                <w:sz w:val="20"/>
              </w:rPr>
            </w:pPr>
            <w:r w:rsidRPr="00DF4CA9">
              <w:rPr>
                <w:b/>
                <w:sz w:val="20"/>
              </w:rPr>
              <w:t>Definition</w:t>
            </w:r>
          </w:p>
        </w:tc>
      </w:tr>
      <w:tr w:rsidR="00E02240" w:rsidRPr="00185EB3" w:rsidTr="00381E4A">
        <w:trPr>
          <w:trHeight w:val="330"/>
        </w:trPr>
        <w:tc>
          <w:tcPr>
            <w:tcW w:w="0" w:type="auto"/>
            <w:tcBorders>
              <w:top w:val="threeDEmboss" w:sz="6" w:space="0" w:color="auto"/>
              <w:left w:val="threeDEmboss" w:sz="6" w:space="0" w:color="auto"/>
              <w:bottom w:val="threeDEmboss" w:sz="6" w:space="0" w:color="auto"/>
              <w:right w:val="threeDEmboss" w:sz="6" w:space="0" w:color="auto"/>
            </w:tcBorders>
          </w:tcPr>
          <w:p w:rsidR="00E02240" w:rsidRPr="00185EB3" w:rsidRDefault="00E02240" w:rsidP="00381E4A">
            <w:pPr>
              <w:keepNext/>
              <w:keepLines/>
              <w:ind w:left="30"/>
              <w:rPr>
                <w:sz w:val="20"/>
              </w:rPr>
            </w:pPr>
            <w:r w:rsidRPr="00185EB3">
              <w:rPr>
                <w:sz w:val="20"/>
              </w:rPr>
              <w:t>Depository Receipt Conversion [CONV]</w:t>
            </w:r>
          </w:p>
        </w:tc>
        <w:tc>
          <w:tcPr>
            <w:tcW w:w="0" w:type="auto"/>
            <w:tcBorders>
              <w:top w:val="threeDEmboss" w:sz="6" w:space="0" w:color="auto"/>
              <w:left w:val="threeDEmboss" w:sz="6" w:space="0" w:color="auto"/>
              <w:bottom w:val="threeDEmboss" w:sz="6" w:space="0" w:color="auto"/>
              <w:right w:val="threeDEmboss" w:sz="6" w:space="0" w:color="auto"/>
            </w:tcBorders>
          </w:tcPr>
          <w:p w:rsidR="00E02240" w:rsidRPr="00185EB3" w:rsidRDefault="00E02240" w:rsidP="00381E4A">
            <w:pPr>
              <w:rPr>
                <w:sz w:val="20"/>
              </w:rPr>
            </w:pPr>
            <w:r w:rsidRPr="00185EB3">
              <w:rPr>
                <w:sz w:val="20"/>
              </w:rPr>
              <w:t>Relates to a depository receipt conversion.</w:t>
            </w:r>
          </w:p>
        </w:tc>
      </w:tr>
      <w:tr w:rsidR="00E02240" w:rsidRPr="00185EB3" w:rsidTr="00381E4A">
        <w:trPr>
          <w:trHeight w:val="352"/>
        </w:trPr>
        <w:tc>
          <w:tcPr>
            <w:tcW w:w="0" w:type="auto"/>
            <w:tcBorders>
              <w:top w:val="threeDEmboss" w:sz="6" w:space="0" w:color="auto"/>
              <w:left w:val="threeDEmboss" w:sz="6" w:space="0" w:color="auto"/>
              <w:bottom w:val="threeDEmboss" w:sz="6" w:space="0" w:color="auto"/>
              <w:right w:val="threeDEmboss" w:sz="6" w:space="0" w:color="auto"/>
            </w:tcBorders>
          </w:tcPr>
          <w:p w:rsidR="00E02240" w:rsidRPr="00185EB3" w:rsidRDefault="00E02240" w:rsidP="00381E4A">
            <w:pPr>
              <w:keepNext/>
              <w:keepLines/>
              <w:ind w:left="30"/>
              <w:rPr>
                <w:sz w:val="20"/>
              </w:rPr>
            </w:pPr>
            <w:r w:rsidRPr="00185EB3">
              <w:rPr>
                <w:sz w:val="20"/>
              </w:rPr>
              <w:t>Depository Receipt Release Cancellation [RELE]</w:t>
            </w:r>
          </w:p>
        </w:tc>
        <w:tc>
          <w:tcPr>
            <w:tcW w:w="0" w:type="auto"/>
            <w:tcBorders>
              <w:top w:val="threeDEmboss" w:sz="6" w:space="0" w:color="auto"/>
              <w:left w:val="threeDEmboss" w:sz="6" w:space="0" w:color="auto"/>
              <w:bottom w:val="threeDEmboss" w:sz="6" w:space="0" w:color="auto"/>
              <w:right w:val="threeDEmboss" w:sz="6" w:space="0" w:color="auto"/>
            </w:tcBorders>
          </w:tcPr>
          <w:p w:rsidR="00E02240" w:rsidRPr="00185EB3" w:rsidRDefault="00E02240" w:rsidP="00381E4A">
            <w:pPr>
              <w:rPr>
                <w:sz w:val="20"/>
              </w:rPr>
            </w:pPr>
            <w:r w:rsidRPr="00185EB3">
              <w:rPr>
                <w:sz w:val="20"/>
              </w:rPr>
              <w:t>Relates to a release (into/from local) of depository receipt operation.</w:t>
            </w:r>
          </w:p>
        </w:tc>
      </w:tr>
      <w:tr w:rsidR="00E02240" w:rsidRPr="00185EB3" w:rsidTr="00381E4A">
        <w:trPr>
          <w:trHeight w:val="209"/>
        </w:trPr>
        <w:tc>
          <w:tcPr>
            <w:tcW w:w="0" w:type="auto"/>
            <w:tcBorders>
              <w:top w:val="threeDEmboss" w:sz="6" w:space="0" w:color="auto"/>
              <w:left w:val="threeDEmboss" w:sz="6" w:space="0" w:color="auto"/>
              <w:bottom w:val="threeDEmboss" w:sz="6" w:space="0" w:color="auto"/>
              <w:right w:val="threeDEmboss" w:sz="6" w:space="0" w:color="auto"/>
            </w:tcBorders>
            <w:shd w:val="clear" w:color="auto" w:fill="FFFFFF"/>
          </w:tcPr>
          <w:p w:rsidR="00E02240" w:rsidRPr="00185EB3" w:rsidRDefault="00E02240" w:rsidP="00381E4A">
            <w:pPr>
              <w:keepNext/>
              <w:keepLines/>
              <w:ind w:left="30"/>
              <w:rPr>
                <w:sz w:val="20"/>
              </w:rPr>
            </w:pPr>
            <w:r w:rsidRPr="00185EB3">
              <w:rPr>
                <w:sz w:val="20"/>
              </w:rPr>
              <w:t>Issuance [ISSU]</w:t>
            </w:r>
          </w:p>
        </w:tc>
        <w:tc>
          <w:tcPr>
            <w:tcW w:w="0" w:type="auto"/>
            <w:tcBorders>
              <w:top w:val="threeDEmboss" w:sz="6" w:space="0" w:color="auto"/>
              <w:left w:val="threeDEmboss" w:sz="6" w:space="0" w:color="auto"/>
              <w:bottom w:val="threeDEmboss" w:sz="6" w:space="0" w:color="auto"/>
              <w:right w:val="threeDEmboss" w:sz="6" w:space="0" w:color="auto"/>
            </w:tcBorders>
            <w:shd w:val="clear" w:color="auto" w:fill="FFFFFF"/>
          </w:tcPr>
          <w:p w:rsidR="00E02240" w:rsidRPr="00185EB3" w:rsidRDefault="00E02240" w:rsidP="00381E4A">
            <w:pPr>
              <w:rPr>
                <w:sz w:val="20"/>
              </w:rPr>
            </w:pPr>
            <w:r w:rsidRPr="00185EB3">
              <w:rPr>
                <w:sz w:val="20"/>
              </w:rPr>
              <w:t>Relates to the issuance of a security such as equity or a depositary receipt.</w:t>
            </w:r>
          </w:p>
        </w:tc>
      </w:tr>
      <w:tr w:rsidR="00E02240" w:rsidRPr="00185EB3" w:rsidTr="00381E4A">
        <w:trPr>
          <w:trHeight w:val="382"/>
        </w:trPr>
        <w:tc>
          <w:tcPr>
            <w:tcW w:w="0" w:type="auto"/>
            <w:tcBorders>
              <w:top w:val="threeDEmboss" w:sz="6" w:space="0" w:color="auto"/>
              <w:left w:val="threeDEmboss" w:sz="6" w:space="0" w:color="auto"/>
              <w:bottom w:val="threeDEmboss" w:sz="6" w:space="0" w:color="auto"/>
              <w:right w:val="threeDEmboss" w:sz="6" w:space="0" w:color="auto"/>
            </w:tcBorders>
          </w:tcPr>
          <w:p w:rsidR="00E02240" w:rsidRPr="00185EB3" w:rsidRDefault="00E02240" w:rsidP="00381E4A">
            <w:pPr>
              <w:keepNext/>
              <w:keepLines/>
              <w:ind w:left="30"/>
              <w:rPr>
                <w:sz w:val="20"/>
              </w:rPr>
            </w:pPr>
            <w:r w:rsidRPr="00185EB3">
              <w:rPr>
                <w:sz w:val="20"/>
              </w:rPr>
              <w:t>Mark Down [MKDW]</w:t>
            </w:r>
          </w:p>
        </w:tc>
        <w:tc>
          <w:tcPr>
            <w:tcW w:w="0" w:type="auto"/>
            <w:tcBorders>
              <w:top w:val="threeDEmboss" w:sz="6" w:space="0" w:color="auto"/>
              <w:left w:val="threeDEmboss" w:sz="6" w:space="0" w:color="auto"/>
              <w:bottom w:val="threeDEmboss" w:sz="6" w:space="0" w:color="auto"/>
              <w:right w:val="threeDEmboss" w:sz="6" w:space="0" w:color="auto"/>
            </w:tcBorders>
          </w:tcPr>
          <w:p w:rsidR="00E02240" w:rsidRPr="00185EB3" w:rsidRDefault="00E02240" w:rsidP="00381E4A">
            <w:pPr>
              <w:rPr>
                <w:sz w:val="20"/>
              </w:rPr>
            </w:pPr>
            <w:r w:rsidRPr="00185EB3">
              <w:rPr>
                <w:sz w:val="20"/>
              </w:rPr>
              <w:t>Relates to the decrease of positions held by an ICSD at the common depository due to custody operations (repurchase, pre-release, proceed of corp. event realigned).</w:t>
            </w:r>
          </w:p>
        </w:tc>
      </w:tr>
      <w:tr w:rsidR="00E02240" w:rsidRPr="00185EB3" w:rsidTr="00381E4A">
        <w:trPr>
          <w:trHeight w:val="360"/>
        </w:trPr>
        <w:tc>
          <w:tcPr>
            <w:tcW w:w="0" w:type="auto"/>
            <w:tcBorders>
              <w:top w:val="threeDEmboss" w:sz="6" w:space="0" w:color="auto"/>
              <w:left w:val="threeDEmboss" w:sz="6" w:space="0" w:color="auto"/>
              <w:bottom w:val="threeDEmboss" w:sz="6" w:space="0" w:color="auto"/>
              <w:right w:val="threeDEmboss" w:sz="6" w:space="0" w:color="auto"/>
            </w:tcBorders>
          </w:tcPr>
          <w:p w:rsidR="00E02240" w:rsidRPr="00185EB3" w:rsidRDefault="00E02240" w:rsidP="00381E4A">
            <w:pPr>
              <w:keepNext/>
              <w:keepLines/>
              <w:ind w:left="30"/>
              <w:rPr>
                <w:sz w:val="20"/>
              </w:rPr>
            </w:pPr>
            <w:r w:rsidRPr="00185EB3">
              <w:rPr>
                <w:sz w:val="20"/>
              </w:rPr>
              <w:t>Mark Up [MKUP]</w:t>
            </w:r>
          </w:p>
        </w:tc>
        <w:tc>
          <w:tcPr>
            <w:tcW w:w="0" w:type="auto"/>
            <w:tcBorders>
              <w:top w:val="threeDEmboss" w:sz="6" w:space="0" w:color="auto"/>
              <w:left w:val="threeDEmboss" w:sz="6" w:space="0" w:color="auto"/>
              <w:bottom w:val="threeDEmboss" w:sz="6" w:space="0" w:color="auto"/>
              <w:right w:val="threeDEmboss" w:sz="6" w:space="0" w:color="auto"/>
            </w:tcBorders>
          </w:tcPr>
          <w:p w:rsidR="00E02240" w:rsidRPr="00185EB3" w:rsidRDefault="00E02240" w:rsidP="00381E4A">
            <w:pPr>
              <w:rPr>
                <w:sz w:val="20"/>
              </w:rPr>
            </w:pPr>
            <w:r w:rsidRPr="00185EB3">
              <w:rPr>
                <w:sz w:val="20"/>
              </w:rPr>
              <w:t>Relates to the increase of positions held by an ICSD at the common depository due to custody operations (repurchase, pre-release, proceed of corporate event realigned).</w:t>
            </w:r>
          </w:p>
        </w:tc>
      </w:tr>
      <w:tr w:rsidR="00E02240" w:rsidRPr="00185EB3" w:rsidTr="00381E4A">
        <w:trPr>
          <w:trHeight w:val="406"/>
        </w:trPr>
        <w:tc>
          <w:tcPr>
            <w:tcW w:w="0" w:type="auto"/>
            <w:tcBorders>
              <w:top w:val="threeDEmboss" w:sz="6" w:space="0" w:color="auto"/>
              <w:left w:val="threeDEmboss" w:sz="6" w:space="0" w:color="auto"/>
              <w:bottom w:val="threeDEmboss" w:sz="6" w:space="0" w:color="auto"/>
              <w:right w:val="threeDEmboss" w:sz="6" w:space="0" w:color="auto"/>
            </w:tcBorders>
          </w:tcPr>
          <w:p w:rsidR="00E02240" w:rsidRPr="00185EB3" w:rsidRDefault="00E02240" w:rsidP="00381E4A">
            <w:pPr>
              <w:keepNext/>
              <w:keepLines/>
              <w:ind w:left="30"/>
              <w:rPr>
                <w:sz w:val="20"/>
              </w:rPr>
            </w:pPr>
            <w:r w:rsidRPr="00185EB3">
              <w:rPr>
                <w:sz w:val="20"/>
              </w:rPr>
              <w:t>Non Syndicated [NSYN]</w:t>
            </w:r>
          </w:p>
        </w:tc>
        <w:tc>
          <w:tcPr>
            <w:tcW w:w="0" w:type="auto"/>
            <w:tcBorders>
              <w:top w:val="threeDEmboss" w:sz="6" w:space="0" w:color="auto"/>
              <w:left w:val="threeDEmboss" w:sz="6" w:space="0" w:color="auto"/>
              <w:bottom w:val="threeDEmboss" w:sz="6" w:space="0" w:color="auto"/>
              <w:right w:val="threeDEmboss" w:sz="6" w:space="0" w:color="auto"/>
            </w:tcBorders>
          </w:tcPr>
          <w:p w:rsidR="00E02240" w:rsidRPr="00185EB3" w:rsidRDefault="00E02240" w:rsidP="00381E4A">
            <w:pPr>
              <w:rPr>
                <w:sz w:val="20"/>
              </w:rPr>
            </w:pPr>
            <w:r w:rsidRPr="00185EB3">
              <w:rPr>
                <w:sz w:val="20"/>
              </w:rPr>
              <w:t>Relates to the issue of medium and short term paper (CP, CD, MTN, notes ...) under a program and without syndication arrangement</w:t>
            </w:r>
          </w:p>
        </w:tc>
      </w:tr>
      <w:tr w:rsidR="00E02240" w:rsidRPr="00185EB3" w:rsidTr="00381E4A">
        <w:trPr>
          <w:trHeight w:val="20"/>
        </w:trPr>
        <w:tc>
          <w:tcPr>
            <w:tcW w:w="0" w:type="auto"/>
            <w:tcBorders>
              <w:top w:val="threeDEmboss" w:sz="6" w:space="0" w:color="auto"/>
              <w:left w:val="threeDEmboss" w:sz="6" w:space="0" w:color="auto"/>
              <w:bottom w:val="threeDEmboss" w:sz="6" w:space="0" w:color="auto"/>
              <w:right w:val="threeDEmboss" w:sz="6" w:space="0" w:color="auto"/>
            </w:tcBorders>
          </w:tcPr>
          <w:p w:rsidR="00E02240" w:rsidRPr="00185EB3" w:rsidRDefault="00E02240" w:rsidP="00381E4A">
            <w:pPr>
              <w:keepNext/>
              <w:keepLines/>
              <w:ind w:left="30"/>
              <w:rPr>
                <w:sz w:val="20"/>
              </w:rPr>
            </w:pPr>
            <w:r w:rsidRPr="00185EB3">
              <w:rPr>
                <w:sz w:val="20"/>
              </w:rPr>
              <w:t>Sell Buy Back [SBBK]</w:t>
            </w:r>
          </w:p>
        </w:tc>
        <w:tc>
          <w:tcPr>
            <w:tcW w:w="0" w:type="auto"/>
            <w:tcBorders>
              <w:top w:val="threeDEmboss" w:sz="6" w:space="0" w:color="auto"/>
              <w:left w:val="threeDEmboss" w:sz="6" w:space="0" w:color="auto"/>
              <w:bottom w:val="threeDEmboss" w:sz="6" w:space="0" w:color="auto"/>
              <w:right w:val="threeDEmboss" w:sz="6" w:space="0" w:color="auto"/>
            </w:tcBorders>
          </w:tcPr>
          <w:p w:rsidR="00E02240" w:rsidRPr="00185EB3" w:rsidRDefault="00E02240" w:rsidP="00381E4A">
            <w:pPr>
              <w:keepNext/>
              <w:keepLines/>
              <w:ind w:left="30"/>
              <w:rPr>
                <w:sz w:val="20"/>
              </w:rPr>
            </w:pPr>
            <w:r w:rsidRPr="00185EB3">
              <w:rPr>
                <w:sz w:val="20"/>
              </w:rPr>
              <w:t>Relates to a sell buy back transaction.</w:t>
            </w:r>
          </w:p>
        </w:tc>
      </w:tr>
      <w:tr w:rsidR="00E02240" w:rsidRPr="00185EB3" w:rsidTr="00381E4A">
        <w:trPr>
          <w:trHeight w:val="368"/>
        </w:trPr>
        <w:tc>
          <w:tcPr>
            <w:tcW w:w="0" w:type="auto"/>
            <w:tcBorders>
              <w:top w:val="threeDEmboss" w:sz="6" w:space="0" w:color="auto"/>
              <w:left w:val="threeDEmboss" w:sz="6" w:space="0" w:color="auto"/>
              <w:bottom w:val="threeDEmboss" w:sz="6" w:space="0" w:color="auto"/>
              <w:right w:val="threeDEmboss" w:sz="6" w:space="0" w:color="auto"/>
            </w:tcBorders>
          </w:tcPr>
          <w:p w:rsidR="00E02240" w:rsidRPr="00185EB3" w:rsidRDefault="00E02240" w:rsidP="00381E4A">
            <w:pPr>
              <w:keepNext/>
              <w:keepLines/>
              <w:ind w:left="30"/>
              <w:rPr>
                <w:sz w:val="20"/>
              </w:rPr>
            </w:pPr>
            <w:r w:rsidRPr="00185EB3">
              <w:rPr>
                <w:sz w:val="20"/>
              </w:rPr>
              <w:t>Syndicate Underwriters [SYND]</w:t>
            </w:r>
          </w:p>
        </w:tc>
        <w:tc>
          <w:tcPr>
            <w:tcW w:w="0" w:type="auto"/>
            <w:tcBorders>
              <w:top w:val="threeDEmboss" w:sz="6" w:space="0" w:color="auto"/>
              <w:left w:val="threeDEmboss" w:sz="6" w:space="0" w:color="auto"/>
              <w:bottom w:val="threeDEmboss" w:sz="6" w:space="0" w:color="auto"/>
              <w:right w:val="threeDEmboss" w:sz="6" w:space="0" w:color="auto"/>
            </w:tcBorders>
          </w:tcPr>
          <w:p w:rsidR="00E02240" w:rsidRPr="00185EB3" w:rsidRDefault="00E02240" w:rsidP="00381E4A">
            <w:pPr>
              <w:rPr>
                <w:sz w:val="20"/>
              </w:rPr>
            </w:pPr>
            <w:r w:rsidRPr="00185EB3">
              <w:rPr>
                <w:sz w:val="20"/>
              </w:rPr>
              <w:t>Relates to the issue of financial instruments through a syndicate of underwriters and a lead manager</w:t>
            </w:r>
          </w:p>
        </w:tc>
      </w:tr>
      <w:tr w:rsidR="00E02240" w:rsidRPr="00185EB3" w:rsidTr="00381E4A">
        <w:trPr>
          <w:trHeight w:val="222"/>
        </w:trPr>
        <w:tc>
          <w:tcPr>
            <w:tcW w:w="0" w:type="auto"/>
            <w:tcBorders>
              <w:top w:val="threeDEmboss" w:sz="6" w:space="0" w:color="auto"/>
              <w:left w:val="threeDEmboss" w:sz="6" w:space="0" w:color="auto"/>
              <w:bottom w:val="threeDEmboss" w:sz="6" w:space="0" w:color="auto"/>
              <w:right w:val="threeDEmboss" w:sz="6" w:space="0" w:color="auto"/>
            </w:tcBorders>
          </w:tcPr>
          <w:p w:rsidR="00E02240" w:rsidRPr="00185EB3" w:rsidRDefault="00E02240" w:rsidP="00381E4A">
            <w:pPr>
              <w:keepNext/>
              <w:keepLines/>
              <w:ind w:left="30"/>
              <w:rPr>
                <w:sz w:val="20"/>
              </w:rPr>
            </w:pPr>
            <w:r w:rsidRPr="00185EB3">
              <w:rPr>
                <w:sz w:val="20"/>
              </w:rPr>
              <w:t>Withdrawal [REDI]</w:t>
            </w:r>
          </w:p>
        </w:tc>
        <w:tc>
          <w:tcPr>
            <w:tcW w:w="0" w:type="auto"/>
            <w:tcBorders>
              <w:top w:val="threeDEmboss" w:sz="6" w:space="0" w:color="auto"/>
              <w:left w:val="threeDEmboss" w:sz="6" w:space="0" w:color="auto"/>
              <w:bottom w:val="threeDEmboss" w:sz="6" w:space="0" w:color="auto"/>
              <w:right w:val="threeDEmboss" w:sz="6" w:space="0" w:color="auto"/>
            </w:tcBorders>
          </w:tcPr>
          <w:p w:rsidR="00E02240" w:rsidRPr="00185EB3" w:rsidRDefault="00E02240" w:rsidP="00381E4A">
            <w:pPr>
              <w:rPr>
                <w:sz w:val="20"/>
              </w:rPr>
            </w:pPr>
            <w:r w:rsidRPr="00185EB3">
              <w:rPr>
                <w:sz w:val="20"/>
              </w:rPr>
              <w:t>Relates to the withdrawal of specified amounts from specified subaccounts</w:t>
            </w:r>
          </w:p>
        </w:tc>
      </w:tr>
    </w:tbl>
    <w:p w:rsidR="00E02240" w:rsidRDefault="00E02240" w:rsidP="00185EB3">
      <w:pPr>
        <w:rPr>
          <w:sz w:val="22"/>
          <w:szCs w:val="22"/>
        </w:rPr>
      </w:pPr>
    </w:p>
    <w:p w:rsidR="00A56D54" w:rsidRPr="002E3DA9" w:rsidRDefault="00E02240" w:rsidP="00185EB3">
      <w:pPr>
        <w:rPr>
          <w:sz w:val="22"/>
          <w:szCs w:val="22"/>
        </w:rPr>
      </w:pPr>
      <w:r>
        <w:rPr>
          <w:sz w:val="22"/>
          <w:szCs w:val="22"/>
        </w:rPr>
        <w:t>For the codes listed in the following table, we don’t see a specific business case at the moment. Hence, we see the addition of those codes as optional request.</w:t>
      </w:r>
    </w:p>
    <w:p w:rsidR="002E3DA9" w:rsidRPr="002E3DA9" w:rsidRDefault="002E3DA9" w:rsidP="00185EB3">
      <w:pPr>
        <w:rPr>
          <w:sz w:val="22"/>
          <w:szCs w:val="22"/>
        </w:rPr>
      </w:pPr>
    </w:p>
    <w:tbl>
      <w:tblPr>
        <w:tblW w:w="0" w:type="auto"/>
        <w:tblInd w:w="-261" w:type="dxa"/>
        <w:tblCellMar>
          <w:left w:w="15" w:type="dxa"/>
          <w:right w:w="15" w:type="dxa"/>
        </w:tblCellMar>
        <w:tblLook w:val="00A0" w:firstRow="1" w:lastRow="0" w:firstColumn="1" w:lastColumn="0" w:noHBand="0" w:noVBand="0"/>
      </w:tblPr>
      <w:tblGrid>
        <w:gridCol w:w="2884"/>
        <w:gridCol w:w="6401"/>
      </w:tblGrid>
      <w:tr w:rsidR="00185EB3" w:rsidRPr="00DF4CA9" w:rsidTr="00185EB3">
        <w:trPr>
          <w:trHeight w:val="20"/>
        </w:trPr>
        <w:tc>
          <w:tcPr>
            <w:tcW w:w="0" w:type="auto"/>
            <w:tcBorders>
              <w:top w:val="threeDEmboss" w:sz="6" w:space="0" w:color="auto"/>
              <w:left w:val="threeDEmboss" w:sz="6" w:space="0" w:color="auto"/>
              <w:bottom w:val="threeDEmboss" w:sz="6" w:space="0" w:color="auto"/>
              <w:right w:val="threeDEmboss" w:sz="6" w:space="0" w:color="auto"/>
            </w:tcBorders>
          </w:tcPr>
          <w:p w:rsidR="00185EB3" w:rsidRPr="00DF4CA9" w:rsidRDefault="00185EB3" w:rsidP="00DF4CA9">
            <w:pPr>
              <w:keepNext/>
              <w:keepLines/>
              <w:ind w:left="30"/>
              <w:jc w:val="center"/>
              <w:rPr>
                <w:b/>
                <w:sz w:val="20"/>
              </w:rPr>
            </w:pPr>
            <w:r w:rsidRPr="00DF4CA9">
              <w:rPr>
                <w:b/>
                <w:sz w:val="20"/>
              </w:rPr>
              <w:t>Securities Transaction type codes</w:t>
            </w:r>
          </w:p>
        </w:tc>
        <w:tc>
          <w:tcPr>
            <w:tcW w:w="0" w:type="auto"/>
            <w:tcBorders>
              <w:top w:val="threeDEmboss" w:sz="6" w:space="0" w:color="auto"/>
              <w:left w:val="threeDEmboss" w:sz="6" w:space="0" w:color="auto"/>
              <w:bottom w:val="threeDEmboss" w:sz="6" w:space="0" w:color="auto"/>
              <w:right w:val="threeDEmboss" w:sz="6" w:space="0" w:color="auto"/>
            </w:tcBorders>
          </w:tcPr>
          <w:p w:rsidR="00185EB3" w:rsidRPr="00DF4CA9" w:rsidRDefault="00185EB3" w:rsidP="00DF4CA9">
            <w:pPr>
              <w:jc w:val="center"/>
              <w:rPr>
                <w:b/>
                <w:sz w:val="20"/>
              </w:rPr>
            </w:pPr>
            <w:r w:rsidRPr="00DF4CA9">
              <w:rPr>
                <w:b/>
                <w:sz w:val="20"/>
              </w:rPr>
              <w:t>Definition</w:t>
            </w:r>
          </w:p>
        </w:tc>
      </w:tr>
      <w:tr w:rsidR="00185EB3" w:rsidRPr="00185EB3" w:rsidTr="00185EB3">
        <w:trPr>
          <w:trHeight w:val="322"/>
        </w:trPr>
        <w:tc>
          <w:tcPr>
            <w:tcW w:w="0" w:type="auto"/>
            <w:tcBorders>
              <w:top w:val="threeDEmboss" w:sz="6" w:space="0" w:color="auto"/>
              <w:left w:val="threeDEmboss" w:sz="6" w:space="0" w:color="auto"/>
              <w:bottom w:val="threeDEmboss" w:sz="6" w:space="0" w:color="auto"/>
              <w:right w:val="threeDEmboss" w:sz="6" w:space="0" w:color="auto"/>
            </w:tcBorders>
          </w:tcPr>
          <w:p w:rsidR="00185EB3" w:rsidRPr="00185EB3" w:rsidRDefault="00185EB3" w:rsidP="00D57849">
            <w:pPr>
              <w:keepNext/>
              <w:keepLines/>
              <w:ind w:left="30"/>
              <w:rPr>
                <w:sz w:val="20"/>
              </w:rPr>
            </w:pPr>
            <w:r w:rsidRPr="00185EB3">
              <w:rPr>
                <w:sz w:val="20"/>
              </w:rPr>
              <w:t>Borrowing Reallocation [SBRE]</w:t>
            </w:r>
          </w:p>
        </w:tc>
        <w:tc>
          <w:tcPr>
            <w:tcW w:w="0" w:type="auto"/>
            <w:tcBorders>
              <w:top w:val="threeDEmboss" w:sz="6" w:space="0" w:color="auto"/>
              <w:left w:val="threeDEmboss" w:sz="6" w:space="0" w:color="auto"/>
              <w:bottom w:val="threeDEmboss" w:sz="6" w:space="0" w:color="auto"/>
              <w:right w:val="threeDEmboss" w:sz="6" w:space="0" w:color="auto"/>
            </w:tcBorders>
          </w:tcPr>
          <w:p w:rsidR="00185EB3" w:rsidRPr="00185EB3" w:rsidRDefault="00185EB3" w:rsidP="00D57849">
            <w:pPr>
              <w:rPr>
                <w:sz w:val="20"/>
              </w:rPr>
            </w:pPr>
            <w:r w:rsidRPr="00185EB3">
              <w:rPr>
                <w:sz w:val="20"/>
              </w:rPr>
              <w:t>Internal reallocation of a borrowed holding from one safekeeping account to another</w:t>
            </w:r>
          </w:p>
        </w:tc>
      </w:tr>
      <w:tr w:rsidR="00185EB3" w:rsidRPr="00185EB3" w:rsidTr="00185EB3">
        <w:trPr>
          <w:trHeight w:val="235"/>
        </w:trPr>
        <w:tc>
          <w:tcPr>
            <w:tcW w:w="0" w:type="auto"/>
            <w:tcBorders>
              <w:top w:val="threeDEmboss" w:sz="6" w:space="0" w:color="auto"/>
              <w:left w:val="threeDEmboss" w:sz="6" w:space="0" w:color="auto"/>
              <w:bottom w:val="threeDEmboss" w:sz="6" w:space="0" w:color="auto"/>
              <w:right w:val="threeDEmboss" w:sz="6" w:space="0" w:color="auto"/>
            </w:tcBorders>
          </w:tcPr>
          <w:p w:rsidR="00185EB3" w:rsidRPr="00185EB3" w:rsidRDefault="00185EB3" w:rsidP="00D57849">
            <w:pPr>
              <w:keepNext/>
              <w:keepLines/>
              <w:ind w:left="30"/>
              <w:rPr>
                <w:sz w:val="20"/>
              </w:rPr>
            </w:pPr>
            <w:r w:rsidRPr="00185EB3">
              <w:rPr>
                <w:sz w:val="20"/>
              </w:rPr>
              <w:t>Factor Update [FCTA]</w:t>
            </w:r>
          </w:p>
        </w:tc>
        <w:tc>
          <w:tcPr>
            <w:tcW w:w="0" w:type="auto"/>
            <w:tcBorders>
              <w:top w:val="threeDEmboss" w:sz="6" w:space="0" w:color="auto"/>
              <w:left w:val="threeDEmboss" w:sz="6" w:space="0" w:color="auto"/>
              <w:bottom w:val="threeDEmboss" w:sz="6" w:space="0" w:color="auto"/>
              <w:right w:val="threeDEmboss" w:sz="6" w:space="0" w:color="auto"/>
            </w:tcBorders>
          </w:tcPr>
          <w:p w:rsidR="00185EB3" w:rsidRPr="00185EB3" w:rsidRDefault="00185EB3" w:rsidP="00D57849">
            <w:pPr>
              <w:keepNext/>
              <w:keepLines/>
              <w:ind w:left="30"/>
              <w:rPr>
                <w:sz w:val="20"/>
              </w:rPr>
            </w:pPr>
            <w:r w:rsidRPr="00185EB3">
              <w:rPr>
                <w:sz w:val="20"/>
              </w:rPr>
              <w:t>Relates to a factor update</w:t>
            </w:r>
          </w:p>
        </w:tc>
      </w:tr>
      <w:tr w:rsidR="00185EB3" w:rsidRPr="00185EB3" w:rsidTr="00185EB3">
        <w:trPr>
          <w:trHeight w:val="201"/>
        </w:trPr>
        <w:tc>
          <w:tcPr>
            <w:tcW w:w="0" w:type="auto"/>
            <w:tcBorders>
              <w:top w:val="threeDEmboss" w:sz="6" w:space="0" w:color="auto"/>
              <w:left w:val="threeDEmboss" w:sz="6" w:space="0" w:color="auto"/>
              <w:bottom w:val="threeDEmboss" w:sz="6" w:space="0" w:color="auto"/>
              <w:right w:val="threeDEmboss" w:sz="6" w:space="0" w:color="auto"/>
            </w:tcBorders>
            <w:shd w:val="clear" w:color="auto" w:fill="FFFFFF"/>
          </w:tcPr>
          <w:p w:rsidR="00185EB3" w:rsidRPr="00185EB3" w:rsidRDefault="00185EB3" w:rsidP="00D57849">
            <w:pPr>
              <w:keepNext/>
              <w:keepLines/>
              <w:ind w:left="30"/>
              <w:rPr>
                <w:sz w:val="20"/>
              </w:rPr>
            </w:pPr>
            <w:r w:rsidRPr="00185EB3">
              <w:rPr>
                <w:sz w:val="20"/>
              </w:rPr>
              <w:t>Lending Reallocation [SLRE]</w:t>
            </w:r>
          </w:p>
        </w:tc>
        <w:tc>
          <w:tcPr>
            <w:tcW w:w="0" w:type="auto"/>
            <w:tcBorders>
              <w:top w:val="threeDEmboss" w:sz="6" w:space="0" w:color="auto"/>
              <w:left w:val="threeDEmboss" w:sz="6" w:space="0" w:color="auto"/>
              <w:bottom w:val="threeDEmboss" w:sz="6" w:space="0" w:color="auto"/>
              <w:right w:val="threeDEmboss" w:sz="6" w:space="0" w:color="auto"/>
            </w:tcBorders>
            <w:shd w:val="clear" w:color="auto" w:fill="FFFFFF"/>
          </w:tcPr>
          <w:p w:rsidR="00185EB3" w:rsidRPr="00185EB3" w:rsidRDefault="00185EB3" w:rsidP="00D57849">
            <w:pPr>
              <w:rPr>
                <w:sz w:val="20"/>
              </w:rPr>
            </w:pPr>
            <w:r w:rsidRPr="00185EB3">
              <w:rPr>
                <w:sz w:val="20"/>
              </w:rPr>
              <w:t>Internal reallocation of a holding on loan from one safekeeping account to another.</w:t>
            </w:r>
          </w:p>
        </w:tc>
      </w:tr>
      <w:tr w:rsidR="00185EB3" w:rsidRPr="00185EB3" w:rsidTr="00185EB3">
        <w:trPr>
          <w:trHeight w:val="272"/>
        </w:trPr>
        <w:tc>
          <w:tcPr>
            <w:tcW w:w="0" w:type="auto"/>
            <w:tcBorders>
              <w:top w:val="threeDEmboss" w:sz="6" w:space="0" w:color="auto"/>
              <w:left w:val="threeDEmboss" w:sz="6" w:space="0" w:color="auto"/>
              <w:bottom w:val="threeDEmboss" w:sz="6" w:space="0" w:color="auto"/>
              <w:right w:val="threeDEmboss" w:sz="6" w:space="0" w:color="auto"/>
            </w:tcBorders>
          </w:tcPr>
          <w:p w:rsidR="00185EB3" w:rsidRPr="00185EB3" w:rsidRDefault="00185EB3" w:rsidP="00D57849">
            <w:pPr>
              <w:keepNext/>
              <w:keepLines/>
              <w:ind w:left="30"/>
              <w:rPr>
                <w:sz w:val="20"/>
              </w:rPr>
            </w:pPr>
            <w:r w:rsidRPr="00185EB3">
              <w:rPr>
                <w:sz w:val="20"/>
              </w:rPr>
              <w:t>Move Of Stock [INSP]</w:t>
            </w:r>
          </w:p>
        </w:tc>
        <w:tc>
          <w:tcPr>
            <w:tcW w:w="0" w:type="auto"/>
            <w:tcBorders>
              <w:top w:val="threeDEmboss" w:sz="6" w:space="0" w:color="auto"/>
              <w:left w:val="threeDEmboss" w:sz="6" w:space="0" w:color="auto"/>
              <w:bottom w:val="threeDEmboss" w:sz="6" w:space="0" w:color="auto"/>
              <w:right w:val="threeDEmboss" w:sz="6" w:space="0" w:color="auto"/>
            </w:tcBorders>
          </w:tcPr>
          <w:p w:rsidR="00185EB3" w:rsidRPr="00185EB3" w:rsidRDefault="00185EB3" w:rsidP="00D57849">
            <w:pPr>
              <w:rPr>
                <w:sz w:val="20"/>
              </w:rPr>
            </w:pPr>
            <w:r w:rsidRPr="00185EB3">
              <w:rPr>
                <w:sz w:val="20"/>
              </w:rPr>
              <w:t>Relates to a movement of shares into or out of a pooled account</w:t>
            </w:r>
          </w:p>
        </w:tc>
      </w:tr>
      <w:tr w:rsidR="00185EB3" w:rsidRPr="00185EB3" w:rsidTr="00185EB3">
        <w:trPr>
          <w:trHeight w:val="441"/>
        </w:trPr>
        <w:tc>
          <w:tcPr>
            <w:tcW w:w="0" w:type="auto"/>
            <w:tcBorders>
              <w:top w:val="threeDEmboss" w:sz="6" w:space="0" w:color="auto"/>
              <w:left w:val="threeDEmboss" w:sz="6" w:space="0" w:color="auto"/>
              <w:bottom w:val="threeDEmboss" w:sz="6" w:space="0" w:color="auto"/>
              <w:right w:val="threeDEmboss" w:sz="6" w:space="0" w:color="auto"/>
            </w:tcBorders>
          </w:tcPr>
          <w:p w:rsidR="00185EB3" w:rsidRPr="00185EB3" w:rsidRDefault="00185EB3" w:rsidP="00D57849">
            <w:pPr>
              <w:keepNext/>
              <w:keepLines/>
              <w:ind w:left="30"/>
              <w:rPr>
                <w:sz w:val="20"/>
              </w:rPr>
            </w:pPr>
            <w:r w:rsidRPr="00185EB3">
              <w:rPr>
                <w:sz w:val="20"/>
              </w:rPr>
              <w:t>Return Delivery Without Matching [RODE]</w:t>
            </w:r>
          </w:p>
        </w:tc>
        <w:tc>
          <w:tcPr>
            <w:tcW w:w="0" w:type="auto"/>
            <w:tcBorders>
              <w:top w:val="threeDEmboss" w:sz="6" w:space="0" w:color="auto"/>
              <w:left w:val="threeDEmboss" w:sz="6" w:space="0" w:color="auto"/>
              <w:bottom w:val="threeDEmboss" w:sz="6" w:space="0" w:color="auto"/>
              <w:right w:val="threeDEmboss" w:sz="6" w:space="0" w:color="auto"/>
            </w:tcBorders>
          </w:tcPr>
          <w:p w:rsidR="00185EB3" w:rsidRPr="00185EB3" w:rsidRDefault="00185EB3" w:rsidP="00D57849">
            <w:pPr>
              <w:rPr>
                <w:sz w:val="20"/>
              </w:rPr>
            </w:pPr>
            <w:r w:rsidRPr="00185EB3">
              <w:rPr>
                <w:sz w:val="20"/>
              </w:rPr>
              <w:t>Relates to the return of financial instruments resulting from a rejected delivery without matching operation.</w:t>
            </w:r>
          </w:p>
        </w:tc>
      </w:tr>
      <w:tr w:rsidR="00185EB3" w:rsidRPr="00185EB3" w:rsidTr="00185EB3">
        <w:trPr>
          <w:trHeight w:val="235"/>
        </w:trPr>
        <w:tc>
          <w:tcPr>
            <w:tcW w:w="0" w:type="auto"/>
            <w:tcBorders>
              <w:top w:val="threeDEmboss" w:sz="6" w:space="0" w:color="auto"/>
              <w:left w:val="threeDEmboss" w:sz="6" w:space="0" w:color="auto"/>
              <w:bottom w:val="threeDEmboss" w:sz="6" w:space="0" w:color="auto"/>
              <w:right w:val="threeDEmboss" w:sz="6" w:space="0" w:color="auto"/>
            </w:tcBorders>
          </w:tcPr>
          <w:p w:rsidR="00185EB3" w:rsidRPr="00185EB3" w:rsidRDefault="00185EB3" w:rsidP="00D57849">
            <w:pPr>
              <w:keepNext/>
              <w:keepLines/>
              <w:ind w:left="30"/>
              <w:rPr>
                <w:sz w:val="20"/>
              </w:rPr>
            </w:pPr>
            <w:r w:rsidRPr="00185EB3">
              <w:rPr>
                <w:sz w:val="20"/>
              </w:rPr>
              <w:t>TBA Closing [TBAC]</w:t>
            </w:r>
          </w:p>
        </w:tc>
        <w:tc>
          <w:tcPr>
            <w:tcW w:w="0" w:type="auto"/>
            <w:tcBorders>
              <w:top w:val="threeDEmboss" w:sz="6" w:space="0" w:color="auto"/>
              <w:left w:val="threeDEmboss" w:sz="6" w:space="0" w:color="auto"/>
              <w:bottom w:val="threeDEmboss" w:sz="6" w:space="0" w:color="auto"/>
              <w:right w:val="threeDEmboss" w:sz="6" w:space="0" w:color="auto"/>
            </w:tcBorders>
          </w:tcPr>
          <w:p w:rsidR="00185EB3" w:rsidRPr="00185EB3" w:rsidRDefault="00185EB3" w:rsidP="00D57849">
            <w:pPr>
              <w:rPr>
                <w:sz w:val="20"/>
              </w:rPr>
            </w:pPr>
            <w:r w:rsidRPr="00185EB3">
              <w:rPr>
                <w:sz w:val="20"/>
              </w:rPr>
              <w:t>Relates to a To Be Announced (TBA) closing trade</w:t>
            </w:r>
          </w:p>
        </w:tc>
      </w:tr>
    </w:tbl>
    <w:p w:rsidR="00DF4CA9" w:rsidRPr="002E3DA9" w:rsidRDefault="00DF4CA9" w:rsidP="00DF4CA9">
      <w:pPr>
        <w:keepNext/>
        <w:keepLines/>
        <w:spacing w:before="60" w:after="60"/>
        <w:ind w:right="3"/>
        <w:jc w:val="both"/>
        <w:rPr>
          <w:sz w:val="22"/>
          <w:szCs w:val="22"/>
        </w:rPr>
      </w:pPr>
    </w:p>
    <w:p w:rsidR="00185EB3" w:rsidRPr="002E3DA9" w:rsidRDefault="00185EB3" w:rsidP="00DF4CA9">
      <w:pPr>
        <w:rPr>
          <w:sz w:val="22"/>
          <w:szCs w:val="22"/>
        </w:rPr>
      </w:pPr>
      <w:r w:rsidRPr="002E3DA9">
        <w:rPr>
          <w:sz w:val="22"/>
          <w:szCs w:val="22"/>
        </w:rPr>
        <w:t xml:space="preserve">When an unmatched Settlement Instruction is sent with one of the above transaction codes, the corresponding </w:t>
      </w:r>
      <w:proofErr w:type="spellStart"/>
      <w:r w:rsidRPr="002E3DA9">
        <w:rPr>
          <w:sz w:val="22"/>
          <w:szCs w:val="22"/>
        </w:rPr>
        <w:t>allegement</w:t>
      </w:r>
      <w:proofErr w:type="spellEnd"/>
      <w:r w:rsidRPr="002E3DA9">
        <w:rPr>
          <w:sz w:val="22"/>
          <w:szCs w:val="22"/>
        </w:rPr>
        <w:t xml:space="preserve"> ‘sese.028’ message (Securities Settlement Transaction </w:t>
      </w:r>
      <w:proofErr w:type="spellStart"/>
      <w:r w:rsidRPr="002E3DA9">
        <w:rPr>
          <w:sz w:val="22"/>
          <w:szCs w:val="22"/>
        </w:rPr>
        <w:t>Allegement</w:t>
      </w:r>
      <w:proofErr w:type="spellEnd"/>
      <w:r w:rsidRPr="002E3DA9">
        <w:rPr>
          <w:sz w:val="22"/>
          <w:szCs w:val="22"/>
        </w:rPr>
        <w:t xml:space="preserve"> Notification) </w:t>
      </w:r>
      <w:r w:rsidR="001438E7">
        <w:rPr>
          <w:sz w:val="22"/>
          <w:szCs w:val="22"/>
        </w:rPr>
        <w:t>cannot be</w:t>
      </w:r>
      <w:r w:rsidRPr="002E3DA9">
        <w:rPr>
          <w:sz w:val="22"/>
          <w:szCs w:val="22"/>
        </w:rPr>
        <w:t xml:space="preserve"> sent to the counterparty. As a result, the Settlement Instruction may remain pending and unmatched without the counterparty being informed. </w:t>
      </w:r>
    </w:p>
    <w:p w:rsidR="00185EB3" w:rsidRPr="002E3DA9" w:rsidRDefault="00185EB3" w:rsidP="00DF4CA9">
      <w:pPr>
        <w:rPr>
          <w:sz w:val="22"/>
          <w:szCs w:val="22"/>
        </w:rPr>
      </w:pPr>
      <w:r w:rsidRPr="002E3DA9">
        <w:rPr>
          <w:sz w:val="22"/>
          <w:szCs w:val="22"/>
        </w:rPr>
        <w:t xml:space="preserve">It is also worth mentioning that the exclusion of these transaction codes in the </w:t>
      </w:r>
      <w:proofErr w:type="spellStart"/>
      <w:r w:rsidRPr="002E3DA9">
        <w:rPr>
          <w:sz w:val="22"/>
          <w:szCs w:val="22"/>
        </w:rPr>
        <w:t>allegement</w:t>
      </w:r>
      <w:proofErr w:type="spellEnd"/>
      <w:r w:rsidRPr="002E3DA9">
        <w:rPr>
          <w:sz w:val="22"/>
          <w:szCs w:val="22"/>
        </w:rPr>
        <w:t xml:space="preserve"> message was based on the assumption that the above codes will always be used in pre-matched Settlement </w:t>
      </w:r>
      <w:r w:rsidRPr="002E3DA9">
        <w:rPr>
          <w:sz w:val="22"/>
          <w:szCs w:val="22"/>
        </w:rPr>
        <w:lastRenderedPageBreak/>
        <w:t xml:space="preserve">Instruction. This however, seems to be an incorrect assumption in the new context of T2S (where bilateral matching is now required as a standard market practice) and therefore a correction is needed to include the missing transaction codes for the data type ‘SecuritiesTransactionType10Code’ used in ‘sese.028’ </w:t>
      </w:r>
      <w:proofErr w:type="spellStart"/>
      <w:r w:rsidRPr="002E3DA9">
        <w:rPr>
          <w:sz w:val="22"/>
          <w:szCs w:val="22"/>
        </w:rPr>
        <w:t>allegement</w:t>
      </w:r>
      <w:proofErr w:type="spellEnd"/>
      <w:r w:rsidRPr="002E3DA9">
        <w:rPr>
          <w:sz w:val="22"/>
          <w:szCs w:val="22"/>
        </w:rPr>
        <w:t xml:space="preserve"> message and ‘semt.019’ </w:t>
      </w:r>
      <w:proofErr w:type="spellStart"/>
      <w:r w:rsidRPr="002E3DA9">
        <w:rPr>
          <w:sz w:val="22"/>
          <w:szCs w:val="22"/>
        </w:rPr>
        <w:t>allegement</w:t>
      </w:r>
      <w:proofErr w:type="spellEnd"/>
      <w:r w:rsidRPr="002E3DA9">
        <w:rPr>
          <w:sz w:val="22"/>
          <w:szCs w:val="22"/>
        </w:rPr>
        <w:t xml:space="preserve"> report messages.</w:t>
      </w:r>
    </w:p>
    <w:p w:rsidR="00185EB3" w:rsidRPr="002E3DA9" w:rsidRDefault="00185EB3" w:rsidP="00185EB3">
      <w:pPr>
        <w:ind w:left="360"/>
        <w:rPr>
          <w:sz w:val="22"/>
          <w:szCs w:val="22"/>
          <w:lang w:val="en-GB"/>
        </w:rPr>
      </w:pPr>
    </w:p>
    <w:p w:rsidR="00185EB3" w:rsidRPr="002E3DA9" w:rsidRDefault="005246BE" w:rsidP="00185EB3">
      <w:pPr>
        <w:numPr>
          <w:ilvl w:val="0"/>
          <w:numId w:val="6"/>
        </w:numPr>
        <w:rPr>
          <w:b/>
          <w:sz w:val="22"/>
          <w:szCs w:val="22"/>
          <w:lang w:val="en-GB"/>
        </w:rPr>
      </w:pPr>
      <w:r>
        <w:rPr>
          <w:b/>
          <w:szCs w:val="24"/>
          <w:lang w:val="en-GB"/>
        </w:rPr>
        <w:t xml:space="preserve">Purpose of the </w:t>
      </w:r>
      <w:r w:rsidR="00577861">
        <w:rPr>
          <w:b/>
          <w:szCs w:val="24"/>
          <w:lang w:val="en-GB"/>
        </w:rPr>
        <w:t>change</w:t>
      </w:r>
      <w:r>
        <w:rPr>
          <w:b/>
          <w:szCs w:val="24"/>
          <w:lang w:val="en-GB"/>
        </w:rPr>
        <w:t>:</w:t>
      </w:r>
    </w:p>
    <w:p w:rsidR="002E3DA9" w:rsidRPr="002E3DA9" w:rsidRDefault="002E3DA9" w:rsidP="00091BDC">
      <w:pPr>
        <w:autoSpaceDE w:val="0"/>
        <w:autoSpaceDN w:val="0"/>
        <w:adjustRightInd w:val="0"/>
        <w:rPr>
          <w:b/>
          <w:sz w:val="22"/>
          <w:szCs w:val="22"/>
          <w:lang w:val="en-GB"/>
        </w:rPr>
      </w:pPr>
      <w:r w:rsidRPr="002E3DA9">
        <w:rPr>
          <w:rFonts w:eastAsia="Times New Roman"/>
          <w:sz w:val="22"/>
          <w:szCs w:val="22"/>
          <w:lang w:val="en-GB" w:eastAsia="fr-FR"/>
        </w:rPr>
        <w:t xml:space="preserve">The purpose of this change is the </w:t>
      </w:r>
      <w:r w:rsidR="00B86574">
        <w:rPr>
          <w:rFonts w:eastAsia="Times New Roman"/>
          <w:sz w:val="22"/>
          <w:szCs w:val="22"/>
          <w:lang w:val="en-GB" w:eastAsia="fr-FR"/>
        </w:rPr>
        <w:t>inclusion of several transaction codes</w:t>
      </w:r>
      <w:r w:rsidRPr="002E3DA9">
        <w:rPr>
          <w:rFonts w:eastAsia="Times New Roman"/>
          <w:sz w:val="22"/>
          <w:szCs w:val="22"/>
          <w:lang w:val="en-GB" w:eastAsia="fr-FR"/>
        </w:rPr>
        <w:t xml:space="preserve"> across </w:t>
      </w:r>
      <w:r w:rsidR="001438E7">
        <w:rPr>
          <w:rFonts w:eastAsia="Times New Roman"/>
          <w:sz w:val="22"/>
          <w:szCs w:val="22"/>
          <w:lang w:val="en-GB" w:eastAsia="fr-FR"/>
        </w:rPr>
        <w:t xml:space="preserve">two </w:t>
      </w:r>
      <w:proofErr w:type="spellStart"/>
      <w:r w:rsidR="001438E7">
        <w:rPr>
          <w:rFonts w:eastAsia="Times New Roman"/>
          <w:sz w:val="22"/>
          <w:szCs w:val="22"/>
          <w:lang w:val="en-GB" w:eastAsia="fr-FR"/>
        </w:rPr>
        <w:t>all</w:t>
      </w:r>
      <w:r w:rsidR="00134B0F">
        <w:rPr>
          <w:rFonts w:eastAsia="Times New Roman"/>
          <w:sz w:val="22"/>
          <w:szCs w:val="22"/>
          <w:lang w:val="en-GB" w:eastAsia="fr-FR"/>
        </w:rPr>
        <w:t>e</w:t>
      </w:r>
      <w:r w:rsidR="001438E7">
        <w:rPr>
          <w:rFonts w:eastAsia="Times New Roman"/>
          <w:sz w:val="22"/>
          <w:szCs w:val="22"/>
          <w:lang w:val="en-GB" w:eastAsia="fr-FR"/>
        </w:rPr>
        <w:t>gement</w:t>
      </w:r>
      <w:proofErr w:type="spellEnd"/>
      <w:r w:rsidR="001438E7" w:rsidRPr="002E3DA9">
        <w:rPr>
          <w:rFonts w:eastAsia="Times New Roman"/>
          <w:sz w:val="22"/>
          <w:szCs w:val="22"/>
          <w:lang w:val="en-GB" w:eastAsia="fr-FR"/>
        </w:rPr>
        <w:t xml:space="preserve"> </w:t>
      </w:r>
      <w:r w:rsidRPr="002E3DA9">
        <w:rPr>
          <w:rFonts w:eastAsia="Times New Roman"/>
          <w:sz w:val="22"/>
          <w:szCs w:val="22"/>
          <w:lang w:val="en-GB" w:eastAsia="fr-FR"/>
        </w:rPr>
        <w:t xml:space="preserve">messages. This </w:t>
      </w:r>
      <w:r w:rsidR="00B86574">
        <w:rPr>
          <w:rFonts w:eastAsia="Times New Roman"/>
          <w:sz w:val="22"/>
          <w:szCs w:val="22"/>
          <w:lang w:val="en-GB" w:eastAsia="fr-FR"/>
        </w:rPr>
        <w:t>update</w:t>
      </w:r>
      <w:r w:rsidR="00B86574" w:rsidRPr="002E3DA9">
        <w:rPr>
          <w:rFonts w:eastAsia="Times New Roman"/>
          <w:sz w:val="22"/>
          <w:szCs w:val="22"/>
          <w:lang w:val="en-GB" w:eastAsia="fr-FR"/>
        </w:rPr>
        <w:t xml:space="preserve"> </w:t>
      </w:r>
      <w:r w:rsidRPr="002E3DA9">
        <w:rPr>
          <w:rFonts w:eastAsia="Times New Roman"/>
          <w:sz w:val="22"/>
          <w:szCs w:val="22"/>
          <w:lang w:val="en-GB" w:eastAsia="fr-FR"/>
        </w:rPr>
        <w:t>would allow the different market participants to use the dedicated transaction codes harmonised across the different messages.</w:t>
      </w:r>
      <w:r w:rsidR="00B86574">
        <w:rPr>
          <w:rFonts w:eastAsia="Times New Roman"/>
          <w:sz w:val="22"/>
          <w:szCs w:val="22"/>
          <w:lang w:val="en-GB" w:eastAsia="fr-FR"/>
        </w:rPr>
        <w:t xml:space="preserve"> Especially the cross border business requires several reason codes currently not present in the transaction code list.</w:t>
      </w:r>
    </w:p>
    <w:p w:rsidR="002E3DA9" w:rsidRPr="002E3DA9" w:rsidRDefault="002E3DA9" w:rsidP="002E3DA9">
      <w:pPr>
        <w:ind w:left="360"/>
        <w:rPr>
          <w:b/>
          <w:sz w:val="22"/>
          <w:szCs w:val="22"/>
          <w:lang w:val="en-GB"/>
        </w:rPr>
      </w:pPr>
    </w:p>
    <w:p w:rsidR="00783891" w:rsidRPr="002E3DA9" w:rsidRDefault="00AA5E76" w:rsidP="00C656B1">
      <w:pPr>
        <w:numPr>
          <w:ilvl w:val="0"/>
          <w:numId w:val="6"/>
        </w:numPr>
        <w:rPr>
          <w:b/>
          <w:sz w:val="22"/>
          <w:szCs w:val="22"/>
          <w:lang w:val="en-GB"/>
        </w:rPr>
      </w:pPr>
      <w:r>
        <w:rPr>
          <w:b/>
          <w:szCs w:val="24"/>
          <w:lang w:val="en-GB"/>
        </w:rPr>
        <w:t>Urgency of the request</w:t>
      </w:r>
      <w:r w:rsidR="00783891">
        <w:rPr>
          <w:b/>
          <w:szCs w:val="24"/>
          <w:lang w:val="en-GB"/>
        </w:rPr>
        <w:t>:</w:t>
      </w:r>
    </w:p>
    <w:p w:rsidR="0011460B" w:rsidRPr="002E3DA9" w:rsidRDefault="0011460B" w:rsidP="002E3DA9">
      <w:pPr>
        <w:autoSpaceDE w:val="0"/>
        <w:autoSpaceDN w:val="0"/>
        <w:adjustRightInd w:val="0"/>
        <w:spacing w:line="360" w:lineRule="auto"/>
        <w:rPr>
          <w:rFonts w:eastAsia="Times New Roman"/>
          <w:sz w:val="22"/>
          <w:szCs w:val="22"/>
          <w:lang w:val="en-GB" w:eastAsia="fr-FR"/>
        </w:rPr>
      </w:pPr>
      <w:r w:rsidRPr="002E3DA9">
        <w:rPr>
          <w:rFonts w:eastAsia="Times New Roman"/>
          <w:sz w:val="22"/>
          <w:szCs w:val="22"/>
          <w:lang w:val="en-GB" w:eastAsia="fr-FR"/>
        </w:rPr>
        <w:t>We request the SEG to consider this change request for the next maintenance cycle.</w:t>
      </w:r>
    </w:p>
    <w:p w:rsidR="0011460B" w:rsidRPr="002E3DA9" w:rsidRDefault="0011460B" w:rsidP="00F34C66">
      <w:pPr>
        <w:rPr>
          <w:i/>
          <w:sz w:val="22"/>
          <w:szCs w:val="22"/>
          <w:lang w:val="en-GB"/>
        </w:rPr>
      </w:pPr>
    </w:p>
    <w:p w:rsidR="00185EB3" w:rsidRPr="002E3DA9" w:rsidRDefault="00FF4AEF" w:rsidP="00185EB3">
      <w:pPr>
        <w:numPr>
          <w:ilvl w:val="0"/>
          <w:numId w:val="6"/>
        </w:numPr>
        <w:rPr>
          <w:sz w:val="22"/>
          <w:szCs w:val="22"/>
          <w:lang w:val="en-GB"/>
        </w:rPr>
      </w:pPr>
      <w:r>
        <w:rPr>
          <w:b/>
          <w:szCs w:val="24"/>
          <w:lang w:val="en-GB"/>
        </w:rPr>
        <w:t>Business examples</w:t>
      </w:r>
      <w:r w:rsidR="00783891">
        <w:rPr>
          <w:b/>
          <w:szCs w:val="24"/>
          <w:lang w:val="en-GB"/>
        </w:rPr>
        <w:t>:</w:t>
      </w:r>
    </w:p>
    <w:p w:rsidR="00091BDC" w:rsidRDefault="00091BDC" w:rsidP="00891B5D">
      <w:pPr>
        <w:pStyle w:val="ListParagraph"/>
        <w:autoSpaceDE w:val="0"/>
        <w:autoSpaceDN w:val="0"/>
        <w:adjustRightInd w:val="0"/>
        <w:spacing w:line="360" w:lineRule="auto"/>
        <w:ind w:left="0"/>
        <w:rPr>
          <w:szCs w:val="22"/>
        </w:rPr>
      </w:pPr>
    </w:p>
    <w:p w:rsidR="00891B5D" w:rsidRPr="002E3DA9" w:rsidRDefault="00891B5D" w:rsidP="00891B5D">
      <w:pPr>
        <w:pStyle w:val="ListParagraph"/>
        <w:autoSpaceDE w:val="0"/>
        <w:autoSpaceDN w:val="0"/>
        <w:adjustRightInd w:val="0"/>
        <w:spacing w:line="360" w:lineRule="auto"/>
        <w:ind w:left="0"/>
        <w:rPr>
          <w:szCs w:val="22"/>
        </w:rPr>
      </w:pPr>
      <w:r w:rsidRPr="002E3DA9">
        <w:rPr>
          <w:szCs w:val="22"/>
        </w:rPr>
        <w:t xml:space="preserve">The reasons behind are both from a general and specific business natures </w:t>
      </w:r>
    </w:p>
    <w:p w:rsidR="00891B5D" w:rsidRPr="002E3DA9" w:rsidRDefault="00891B5D" w:rsidP="00891B5D">
      <w:pPr>
        <w:pStyle w:val="ListParagraph"/>
        <w:numPr>
          <w:ilvl w:val="0"/>
          <w:numId w:val="20"/>
        </w:numPr>
        <w:autoSpaceDE w:val="0"/>
        <w:autoSpaceDN w:val="0"/>
        <w:adjustRightInd w:val="0"/>
        <w:spacing w:line="360" w:lineRule="auto"/>
        <w:rPr>
          <w:szCs w:val="22"/>
        </w:rPr>
      </w:pPr>
      <w:r w:rsidRPr="002E3DA9">
        <w:rPr>
          <w:szCs w:val="22"/>
        </w:rPr>
        <w:t>The choice to instruct with matching or without matching, with internal or external counterparts</w:t>
      </w:r>
      <w:r>
        <w:rPr>
          <w:szCs w:val="22"/>
        </w:rPr>
        <w:t>,</w:t>
      </w:r>
      <w:r w:rsidRPr="002E3DA9">
        <w:rPr>
          <w:szCs w:val="22"/>
        </w:rPr>
        <w:t xml:space="preserve"> should be left at the discretion of the user, regardless of the ISO </w:t>
      </w:r>
      <w:r w:rsidR="00091BDC">
        <w:rPr>
          <w:szCs w:val="22"/>
        </w:rPr>
        <w:t xml:space="preserve">20022 </w:t>
      </w:r>
      <w:r w:rsidRPr="002E3DA9">
        <w:rPr>
          <w:szCs w:val="22"/>
        </w:rPr>
        <w:t xml:space="preserve">transaction code. Current rule results in restrictions in the usage of related ISO </w:t>
      </w:r>
      <w:r w:rsidR="00091BDC">
        <w:rPr>
          <w:szCs w:val="22"/>
        </w:rPr>
        <w:t xml:space="preserve">20022 </w:t>
      </w:r>
      <w:r w:rsidRPr="002E3DA9">
        <w:rPr>
          <w:szCs w:val="22"/>
        </w:rPr>
        <w:t xml:space="preserve">codes. Some clients indicated that they use default ISO </w:t>
      </w:r>
      <w:r w:rsidR="00091BDC">
        <w:rPr>
          <w:szCs w:val="22"/>
        </w:rPr>
        <w:t xml:space="preserve">20022 </w:t>
      </w:r>
      <w:r w:rsidRPr="002E3DA9">
        <w:rPr>
          <w:szCs w:val="22"/>
        </w:rPr>
        <w:t xml:space="preserve">codes (such as TRAD) because of this rule, while they would have preferred to use the appropriate ISO </w:t>
      </w:r>
      <w:r w:rsidR="00091BDC">
        <w:rPr>
          <w:szCs w:val="22"/>
        </w:rPr>
        <w:t xml:space="preserve">20022 </w:t>
      </w:r>
      <w:r w:rsidRPr="002E3DA9">
        <w:rPr>
          <w:szCs w:val="22"/>
        </w:rPr>
        <w:t>code to ease reconciliation</w:t>
      </w:r>
      <w:r>
        <w:rPr>
          <w:szCs w:val="22"/>
        </w:rPr>
        <w:t>.</w:t>
      </w:r>
    </w:p>
    <w:p w:rsidR="00891B5D" w:rsidRDefault="00891B5D" w:rsidP="00891B5D">
      <w:pPr>
        <w:pStyle w:val="ListParagraph"/>
        <w:numPr>
          <w:ilvl w:val="0"/>
          <w:numId w:val="20"/>
        </w:numPr>
        <w:autoSpaceDE w:val="0"/>
        <w:autoSpaceDN w:val="0"/>
        <w:adjustRightInd w:val="0"/>
        <w:spacing w:line="360" w:lineRule="auto"/>
        <w:rPr>
          <w:szCs w:val="22"/>
        </w:rPr>
      </w:pPr>
      <w:r w:rsidRPr="002E3DA9">
        <w:rPr>
          <w:szCs w:val="22"/>
        </w:rPr>
        <w:t>This change becomes more critical in the context of T2S adaptation. T2S business rules make it mandatory to use matching with external counterparties. Existing scenarios where the user can transfer securities without matching to a counterpart using such ISO</w:t>
      </w:r>
      <w:r w:rsidR="00091BDC">
        <w:rPr>
          <w:szCs w:val="22"/>
        </w:rPr>
        <w:t xml:space="preserve"> 20022</w:t>
      </w:r>
      <w:r w:rsidRPr="002E3DA9">
        <w:rPr>
          <w:szCs w:val="22"/>
        </w:rPr>
        <w:t xml:space="preserve"> codes cannot continue with T2S.</w:t>
      </w:r>
    </w:p>
    <w:p w:rsidR="00891B5D" w:rsidRPr="00D25969" w:rsidRDefault="00891B5D" w:rsidP="00891B5D">
      <w:pPr>
        <w:pStyle w:val="ListParagraph"/>
        <w:numPr>
          <w:ilvl w:val="0"/>
          <w:numId w:val="20"/>
        </w:numPr>
        <w:autoSpaceDE w:val="0"/>
        <w:autoSpaceDN w:val="0"/>
        <w:adjustRightInd w:val="0"/>
        <w:spacing w:line="360" w:lineRule="auto"/>
        <w:rPr>
          <w:szCs w:val="22"/>
        </w:rPr>
      </w:pPr>
      <w:r>
        <w:rPr>
          <w:szCs w:val="22"/>
        </w:rPr>
        <w:t>T</w:t>
      </w:r>
      <w:r w:rsidRPr="006950E2">
        <w:rPr>
          <w:szCs w:val="22"/>
        </w:rPr>
        <w:t xml:space="preserve">he European Regulation on settlement and Central Securities Depositories (CSDR) </w:t>
      </w:r>
      <w:proofErr w:type="gramStart"/>
      <w:r w:rsidRPr="006950E2">
        <w:rPr>
          <w:szCs w:val="22"/>
        </w:rPr>
        <w:t>is</w:t>
      </w:r>
      <w:proofErr w:type="gramEnd"/>
      <w:r w:rsidRPr="006950E2">
        <w:rPr>
          <w:szCs w:val="22"/>
        </w:rPr>
        <w:t xml:space="preserve"> requiring "tools" to speed-up the matching process. Those tools are relying on the </w:t>
      </w:r>
      <w:proofErr w:type="spellStart"/>
      <w:r w:rsidRPr="006950E2">
        <w:rPr>
          <w:szCs w:val="22"/>
        </w:rPr>
        <w:t>allegement</w:t>
      </w:r>
      <w:proofErr w:type="spellEnd"/>
      <w:r w:rsidRPr="006950E2">
        <w:rPr>
          <w:szCs w:val="22"/>
        </w:rPr>
        <w:t xml:space="preserve"> in T2S. If an ISO </w:t>
      </w:r>
      <w:r w:rsidR="00091BDC">
        <w:rPr>
          <w:szCs w:val="22"/>
        </w:rPr>
        <w:t xml:space="preserve">20022 </w:t>
      </w:r>
      <w:r w:rsidRPr="006950E2">
        <w:rPr>
          <w:szCs w:val="22"/>
        </w:rPr>
        <w:t xml:space="preserve">transaction is not enabling </w:t>
      </w:r>
      <w:proofErr w:type="spellStart"/>
      <w:r w:rsidRPr="006950E2">
        <w:rPr>
          <w:szCs w:val="22"/>
        </w:rPr>
        <w:t>allegement</w:t>
      </w:r>
      <w:proofErr w:type="spellEnd"/>
      <w:r w:rsidRPr="006950E2">
        <w:rPr>
          <w:szCs w:val="22"/>
        </w:rPr>
        <w:t>, there is a risk that T2S will not inform the counterparty in due time.</w:t>
      </w:r>
    </w:p>
    <w:p w:rsidR="00891B5D" w:rsidRDefault="00891B5D" w:rsidP="00891B5D">
      <w:pPr>
        <w:pStyle w:val="ListParagraph"/>
        <w:numPr>
          <w:ilvl w:val="0"/>
          <w:numId w:val="20"/>
        </w:numPr>
        <w:autoSpaceDE w:val="0"/>
        <w:autoSpaceDN w:val="0"/>
        <w:adjustRightInd w:val="0"/>
        <w:spacing w:line="360" w:lineRule="auto"/>
        <w:rPr>
          <w:szCs w:val="22"/>
        </w:rPr>
      </w:pPr>
      <w:r w:rsidRPr="002E3DA9">
        <w:rPr>
          <w:szCs w:val="22"/>
        </w:rPr>
        <w:t xml:space="preserve">As far as </w:t>
      </w:r>
      <w:r>
        <w:rPr>
          <w:szCs w:val="22"/>
        </w:rPr>
        <w:t xml:space="preserve">specific </w:t>
      </w:r>
      <w:r w:rsidRPr="002E3DA9">
        <w:rPr>
          <w:szCs w:val="22"/>
        </w:rPr>
        <w:t xml:space="preserve">business scenarios are concerned, hereafter some scenarios that imply the use of these ISO </w:t>
      </w:r>
      <w:r w:rsidR="00091BDC">
        <w:rPr>
          <w:szCs w:val="22"/>
        </w:rPr>
        <w:t xml:space="preserve">20022 </w:t>
      </w:r>
      <w:r w:rsidRPr="002E3DA9">
        <w:rPr>
          <w:szCs w:val="22"/>
        </w:rPr>
        <w:t>codes in to be matched instructions with external counterparties. Most of them relate to issuance situations e.g.</w:t>
      </w:r>
    </w:p>
    <w:tbl>
      <w:tblPr>
        <w:tblW w:w="0" w:type="auto"/>
        <w:tblInd w:w="-261" w:type="dxa"/>
        <w:tblCellMar>
          <w:left w:w="15" w:type="dxa"/>
          <w:right w:w="15" w:type="dxa"/>
        </w:tblCellMar>
        <w:tblLook w:val="00A0" w:firstRow="1" w:lastRow="0" w:firstColumn="1" w:lastColumn="0" w:noHBand="0" w:noVBand="0"/>
      </w:tblPr>
      <w:tblGrid>
        <w:gridCol w:w="2127"/>
        <w:gridCol w:w="7158"/>
      </w:tblGrid>
      <w:tr w:rsidR="00891B5D" w:rsidRPr="00DF4CA9" w:rsidTr="005F247E">
        <w:trPr>
          <w:trHeight w:val="20"/>
        </w:trPr>
        <w:tc>
          <w:tcPr>
            <w:tcW w:w="2127" w:type="dxa"/>
            <w:tcBorders>
              <w:top w:val="threeDEmboss" w:sz="6" w:space="0" w:color="auto"/>
              <w:left w:val="threeDEmboss" w:sz="6" w:space="0" w:color="auto"/>
              <w:bottom w:val="threeDEmboss" w:sz="6" w:space="0" w:color="auto"/>
              <w:right w:val="threeDEmboss" w:sz="6" w:space="0" w:color="auto"/>
            </w:tcBorders>
          </w:tcPr>
          <w:p w:rsidR="00891B5D" w:rsidRPr="00DF4CA9" w:rsidRDefault="00891B5D" w:rsidP="005F247E">
            <w:pPr>
              <w:keepNext/>
              <w:keepLines/>
              <w:ind w:left="30"/>
              <w:jc w:val="center"/>
              <w:rPr>
                <w:b/>
                <w:sz w:val="20"/>
              </w:rPr>
            </w:pPr>
            <w:r>
              <w:rPr>
                <w:b/>
                <w:sz w:val="20"/>
              </w:rPr>
              <w:t>Code</w:t>
            </w:r>
          </w:p>
        </w:tc>
        <w:tc>
          <w:tcPr>
            <w:tcW w:w="7158" w:type="dxa"/>
            <w:tcBorders>
              <w:top w:val="threeDEmboss" w:sz="6" w:space="0" w:color="auto"/>
              <w:left w:val="threeDEmboss" w:sz="6" w:space="0" w:color="auto"/>
              <w:bottom w:val="threeDEmboss" w:sz="6" w:space="0" w:color="auto"/>
              <w:right w:val="threeDEmboss" w:sz="6" w:space="0" w:color="auto"/>
            </w:tcBorders>
          </w:tcPr>
          <w:p w:rsidR="00891B5D" w:rsidRPr="00DF4CA9" w:rsidRDefault="00891B5D" w:rsidP="005F247E">
            <w:pPr>
              <w:jc w:val="center"/>
              <w:rPr>
                <w:b/>
                <w:sz w:val="20"/>
              </w:rPr>
            </w:pPr>
            <w:r>
              <w:rPr>
                <w:b/>
                <w:sz w:val="20"/>
              </w:rPr>
              <w:t>Business scenario</w:t>
            </w:r>
          </w:p>
        </w:tc>
      </w:tr>
      <w:tr w:rsidR="00891B5D" w:rsidRPr="00185EB3" w:rsidTr="005F247E">
        <w:trPr>
          <w:trHeight w:val="529"/>
        </w:trPr>
        <w:tc>
          <w:tcPr>
            <w:tcW w:w="2127" w:type="dxa"/>
            <w:tcBorders>
              <w:top w:val="threeDEmboss" w:sz="6" w:space="0" w:color="auto"/>
              <w:left w:val="threeDEmboss" w:sz="6" w:space="0" w:color="auto"/>
              <w:bottom w:val="threeDEmboss" w:sz="6" w:space="0" w:color="auto"/>
              <w:right w:val="threeDEmboss" w:sz="6" w:space="0" w:color="auto"/>
            </w:tcBorders>
            <w:shd w:val="clear" w:color="auto" w:fill="auto"/>
          </w:tcPr>
          <w:p w:rsidR="00891B5D" w:rsidRPr="00D25969" w:rsidRDefault="00891B5D" w:rsidP="005F247E">
            <w:pPr>
              <w:autoSpaceDE w:val="0"/>
              <w:autoSpaceDN w:val="0"/>
              <w:adjustRightInd w:val="0"/>
              <w:spacing w:line="360" w:lineRule="auto"/>
              <w:rPr>
                <w:sz w:val="22"/>
                <w:szCs w:val="22"/>
              </w:rPr>
            </w:pPr>
            <w:r w:rsidRPr="00D25969">
              <w:rPr>
                <w:sz w:val="22"/>
                <w:szCs w:val="22"/>
              </w:rPr>
              <w:t xml:space="preserve">Depository Receipt </w:t>
            </w:r>
            <w:r w:rsidRPr="00D25969">
              <w:rPr>
                <w:sz w:val="22"/>
                <w:szCs w:val="22"/>
              </w:rPr>
              <w:lastRenderedPageBreak/>
              <w:t>Conversion [CONV]</w:t>
            </w:r>
          </w:p>
        </w:tc>
        <w:tc>
          <w:tcPr>
            <w:tcW w:w="7158" w:type="dxa"/>
            <w:tcBorders>
              <w:top w:val="threeDEmboss" w:sz="6" w:space="0" w:color="auto"/>
              <w:left w:val="threeDEmboss" w:sz="6" w:space="0" w:color="auto"/>
              <w:bottom w:val="threeDEmboss" w:sz="6" w:space="0" w:color="auto"/>
              <w:right w:val="threeDEmboss" w:sz="6" w:space="0" w:color="auto"/>
            </w:tcBorders>
            <w:shd w:val="clear" w:color="auto" w:fill="auto"/>
          </w:tcPr>
          <w:p w:rsidR="00891B5D" w:rsidRPr="00D25969" w:rsidRDefault="00891B5D" w:rsidP="005F247E">
            <w:pPr>
              <w:autoSpaceDE w:val="0"/>
              <w:autoSpaceDN w:val="0"/>
              <w:adjustRightInd w:val="0"/>
              <w:spacing w:line="360" w:lineRule="auto"/>
              <w:rPr>
                <w:sz w:val="22"/>
                <w:szCs w:val="22"/>
              </w:rPr>
            </w:pPr>
            <w:r w:rsidRPr="00D25969">
              <w:rPr>
                <w:sz w:val="22"/>
                <w:szCs w:val="22"/>
              </w:rPr>
              <w:lastRenderedPageBreak/>
              <w:t xml:space="preserve">In the context of Depositary Receipts (DR), conversion instructions by the DR </w:t>
            </w:r>
            <w:r w:rsidRPr="00D25969">
              <w:rPr>
                <w:sz w:val="22"/>
                <w:szCs w:val="22"/>
              </w:rPr>
              <w:lastRenderedPageBreak/>
              <w:t>agent can be linked to the delivery of DRs to a holder</w:t>
            </w:r>
          </w:p>
        </w:tc>
      </w:tr>
      <w:tr w:rsidR="00891B5D" w:rsidRPr="00185EB3" w:rsidTr="005F247E">
        <w:trPr>
          <w:trHeight w:val="352"/>
        </w:trPr>
        <w:tc>
          <w:tcPr>
            <w:tcW w:w="2127" w:type="dxa"/>
            <w:tcBorders>
              <w:top w:val="threeDEmboss" w:sz="6" w:space="0" w:color="auto"/>
              <w:left w:val="threeDEmboss" w:sz="6" w:space="0" w:color="auto"/>
              <w:bottom w:val="threeDEmboss" w:sz="6" w:space="0" w:color="auto"/>
              <w:right w:val="threeDEmboss" w:sz="6" w:space="0" w:color="auto"/>
            </w:tcBorders>
          </w:tcPr>
          <w:p w:rsidR="00891B5D" w:rsidRPr="00D25969" w:rsidRDefault="00891B5D" w:rsidP="005F247E">
            <w:pPr>
              <w:autoSpaceDE w:val="0"/>
              <w:autoSpaceDN w:val="0"/>
              <w:adjustRightInd w:val="0"/>
              <w:spacing w:line="360" w:lineRule="auto"/>
              <w:rPr>
                <w:sz w:val="22"/>
                <w:szCs w:val="22"/>
              </w:rPr>
            </w:pPr>
            <w:r w:rsidRPr="00D25969">
              <w:rPr>
                <w:sz w:val="22"/>
                <w:szCs w:val="22"/>
              </w:rPr>
              <w:lastRenderedPageBreak/>
              <w:t>Depository Receipt Release Cancellation [RELE]</w:t>
            </w:r>
          </w:p>
        </w:tc>
        <w:tc>
          <w:tcPr>
            <w:tcW w:w="7158" w:type="dxa"/>
            <w:tcBorders>
              <w:top w:val="threeDEmboss" w:sz="6" w:space="0" w:color="auto"/>
              <w:left w:val="threeDEmboss" w:sz="6" w:space="0" w:color="auto"/>
              <w:bottom w:val="threeDEmboss" w:sz="6" w:space="0" w:color="auto"/>
              <w:right w:val="threeDEmboss" w:sz="6" w:space="0" w:color="auto"/>
            </w:tcBorders>
          </w:tcPr>
          <w:p w:rsidR="00891B5D" w:rsidRPr="00D25969" w:rsidRDefault="00891B5D" w:rsidP="005F247E">
            <w:pPr>
              <w:autoSpaceDE w:val="0"/>
              <w:autoSpaceDN w:val="0"/>
              <w:adjustRightInd w:val="0"/>
              <w:spacing w:line="360" w:lineRule="auto"/>
              <w:rPr>
                <w:sz w:val="22"/>
                <w:szCs w:val="22"/>
              </w:rPr>
            </w:pPr>
            <w:r w:rsidRPr="00D25969">
              <w:rPr>
                <w:sz w:val="22"/>
                <w:szCs w:val="22"/>
              </w:rPr>
              <w:t>In the context of Depositary Receipts (DR), request of cancellation can be linked to the delivery of DRs to the DR agent (ISO code RELE)</w:t>
            </w:r>
          </w:p>
        </w:tc>
      </w:tr>
      <w:tr w:rsidR="00891B5D" w:rsidRPr="00185EB3" w:rsidTr="005F247E">
        <w:trPr>
          <w:trHeight w:val="209"/>
        </w:trPr>
        <w:tc>
          <w:tcPr>
            <w:tcW w:w="2127" w:type="dxa"/>
            <w:tcBorders>
              <w:top w:val="threeDEmboss" w:sz="6" w:space="0" w:color="auto"/>
              <w:left w:val="threeDEmboss" w:sz="6" w:space="0" w:color="auto"/>
              <w:bottom w:val="threeDEmboss" w:sz="6" w:space="0" w:color="auto"/>
              <w:right w:val="threeDEmboss" w:sz="6" w:space="0" w:color="auto"/>
            </w:tcBorders>
            <w:shd w:val="clear" w:color="auto" w:fill="FFFFFF"/>
          </w:tcPr>
          <w:p w:rsidR="00891B5D" w:rsidRPr="00D25969" w:rsidRDefault="00891B5D" w:rsidP="005F247E">
            <w:pPr>
              <w:autoSpaceDE w:val="0"/>
              <w:autoSpaceDN w:val="0"/>
              <w:adjustRightInd w:val="0"/>
              <w:spacing w:line="360" w:lineRule="auto"/>
              <w:rPr>
                <w:sz w:val="22"/>
                <w:szCs w:val="22"/>
              </w:rPr>
            </w:pPr>
            <w:r w:rsidRPr="00D25969">
              <w:rPr>
                <w:sz w:val="22"/>
                <w:szCs w:val="22"/>
              </w:rPr>
              <w:t>Issuance [ISSU]</w:t>
            </w:r>
          </w:p>
        </w:tc>
        <w:tc>
          <w:tcPr>
            <w:tcW w:w="7158" w:type="dxa"/>
            <w:tcBorders>
              <w:top w:val="threeDEmboss" w:sz="6" w:space="0" w:color="auto"/>
              <w:left w:val="threeDEmboss" w:sz="6" w:space="0" w:color="auto"/>
              <w:bottom w:val="threeDEmboss" w:sz="6" w:space="0" w:color="auto"/>
              <w:right w:val="threeDEmboss" w:sz="6" w:space="0" w:color="auto"/>
            </w:tcBorders>
            <w:shd w:val="clear" w:color="auto" w:fill="FFFFFF"/>
          </w:tcPr>
          <w:p w:rsidR="00891B5D" w:rsidRPr="00D25969" w:rsidRDefault="00891B5D" w:rsidP="005F247E">
            <w:pPr>
              <w:autoSpaceDE w:val="0"/>
              <w:autoSpaceDN w:val="0"/>
              <w:adjustRightInd w:val="0"/>
              <w:spacing w:line="360" w:lineRule="auto"/>
              <w:rPr>
                <w:sz w:val="22"/>
                <w:szCs w:val="22"/>
              </w:rPr>
            </w:pPr>
            <w:r w:rsidRPr="00D25969">
              <w:rPr>
                <w:sz w:val="22"/>
                <w:szCs w:val="22"/>
              </w:rPr>
              <w:t>The issuer agent issues securities (by debiting a dedicated issuance account) and delivers them onward with matching to a counterpart through a single instruction</w:t>
            </w:r>
          </w:p>
        </w:tc>
      </w:tr>
      <w:tr w:rsidR="00891B5D" w:rsidRPr="00185EB3" w:rsidTr="005F247E">
        <w:trPr>
          <w:trHeight w:val="2903"/>
        </w:trPr>
        <w:tc>
          <w:tcPr>
            <w:tcW w:w="2127" w:type="dxa"/>
            <w:tcBorders>
              <w:top w:val="threeDEmboss" w:sz="6" w:space="0" w:color="auto"/>
              <w:left w:val="threeDEmboss" w:sz="6" w:space="0" w:color="auto"/>
              <w:bottom w:val="threeDEmboss" w:sz="6" w:space="0" w:color="auto"/>
              <w:right w:val="threeDEmboss" w:sz="6" w:space="0" w:color="auto"/>
            </w:tcBorders>
          </w:tcPr>
          <w:p w:rsidR="00891B5D" w:rsidRPr="00D25969" w:rsidRDefault="00891B5D" w:rsidP="005F247E">
            <w:pPr>
              <w:autoSpaceDE w:val="0"/>
              <w:autoSpaceDN w:val="0"/>
              <w:adjustRightInd w:val="0"/>
              <w:spacing w:line="360" w:lineRule="auto"/>
              <w:rPr>
                <w:sz w:val="22"/>
                <w:szCs w:val="22"/>
              </w:rPr>
            </w:pPr>
            <w:r w:rsidRPr="00D25969">
              <w:rPr>
                <w:sz w:val="22"/>
                <w:szCs w:val="22"/>
              </w:rPr>
              <w:t>Mark Down [MKDW]</w:t>
            </w:r>
          </w:p>
        </w:tc>
        <w:tc>
          <w:tcPr>
            <w:tcW w:w="7158" w:type="dxa"/>
            <w:tcBorders>
              <w:top w:val="threeDEmboss" w:sz="6" w:space="0" w:color="auto"/>
              <w:left w:val="threeDEmboss" w:sz="6" w:space="0" w:color="auto"/>
              <w:bottom w:val="threeDEmboss" w:sz="6" w:space="0" w:color="auto"/>
              <w:right w:val="threeDEmboss" w:sz="6" w:space="0" w:color="auto"/>
            </w:tcBorders>
          </w:tcPr>
          <w:p w:rsidR="00891B5D" w:rsidRPr="00D25969" w:rsidRDefault="00891B5D" w:rsidP="005F247E">
            <w:pPr>
              <w:autoSpaceDE w:val="0"/>
              <w:autoSpaceDN w:val="0"/>
              <w:adjustRightInd w:val="0"/>
              <w:spacing w:line="360" w:lineRule="auto"/>
              <w:rPr>
                <w:sz w:val="22"/>
                <w:szCs w:val="22"/>
              </w:rPr>
            </w:pPr>
            <w:r w:rsidRPr="00D25969">
              <w:rPr>
                <w:sz w:val="22"/>
                <w:szCs w:val="22"/>
              </w:rPr>
              <w:t xml:space="preserve">In case of cross-border stripping request, the strips to be distributed to the primary dealer (participant) holding an account in a foreign CSD have to be sent unmatched in T2S. The preferred way to inform the primary dealer about the instruction is via the </w:t>
            </w:r>
            <w:proofErr w:type="spellStart"/>
            <w:r w:rsidRPr="00D25969">
              <w:rPr>
                <w:sz w:val="22"/>
                <w:szCs w:val="22"/>
              </w:rPr>
              <w:t>allegement</w:t>
            </w:r>
            <w:proofErr w:type="spellEnd"/>
            <w:r w:rsidRPr="00D25969">
              <w:rPr>
                <w:sz w:val="22"/>
                <w:szCs w:val="22"/>
              </w:rPr>
              <w:t xml:space="preserve"> (sese.028),</w:t>
            </w:r>
          </w:p>
          <w:p w:rsidR="00891B5D" w:rsidRPr="00D25969" w:rsidRDefault="00891B5D" w:rsidP="005F247E">
            <w:pPr>
              <w:autoSpaceDE w:val="0"/>
              <w:autoSpaceDN w:val="0"/>
              <w:adjustRightInd w:val="0"/>
              <w:spacing w:line="360" w:lineRule="auto"/>
              <w:rPr>
                <w:sz w:val="22"/>
                <w:szCs w:val="22"/>
              </w:rPr>
            </w:pPr>
            <w:r w:rsidRPr="00D25969">
              <w:rPr>
                <w:sz w:val="22"/>
                <w:szCs w:val="22"/>
              </w:rPr>
              <w:t xml:space="preserve">The code is also used to convert REG S to REG 144 (United States Securities Act) or vice-versa. Cross-border in T2S is also requiring matching by a party of the other CSD. Here also an </w:t>
            </w:r>
            <w:proofErr w:type="spellStart"/>
            <w:r w:rsidRPr="00D25969">
              <w:rPr>
                <w:sz w:val="22"/>
                <w:szCs w:val="22"/>
              </w:rPr>
              <w:t>allegement</w:t>
            </w:r>
            <w:proofErr w:type="spellEnd"/>
            <w:r w:rsidRPr="00D25969">
              <w:rPr>
                <w:sz w:val="22"/>
                <w:szCs w:val="22"/>
              </w:rPr>
              <w:t xml:space="preserve"> is necessary.</w:t>
            </w:r>
          </w:p>
        </w:tc>
      </w:tr>
      <w:tr w:rsidR="00891B5D" w:rsidRPr="00185EB3" w:rsidTr="005F247E">
        <w:trPr>
          <w:trHeight w:val="360"/>
        </w:trPr>
        <w:tc>
          <w:tcPr>
            <w:tcW w:w="2127" w:type="dxa"/>
            <w:tcBorders>
              <w:top w:val="threeDEmboss" w:sz="6" w:space="0" w:color="auto"/>
              <w:left w:val="threeDEmboss" w:sz="6" w:space="0" w:color="auto"/>
              <w:bottom w:val="threeDEmboss" w:sz="6" w:space="0" w:color="auto"/>
              <w:right w:val="threeDEmboss" w:sz="6" w:space="0" w:color="auto"/>
            </w:tcBorders>
          </w:tcPr>
          <w:p w:rsidR="00891B5D" w:rsidRPr="00D25969" w:rsidRDefault="00891B5D" w:rsidP="005F247E">
            <w:pPr>
              <w:autoSpaceDE w:val="0"/>
              <w:autoSpaceDN w:val="0"/>
              <w:adjustRightInd w:val="0"/>
              <w:spacing w:line="360" w:lineRule="auto"/>
              <w:rPr>
                <w:sz w:val="22"/>
                <w:szCs w:val="22"/>
              </w:rPr>
            </w:pPr>
            <w:r w:rsidRPr="00D25969">
              <w:rPr>
                <w:sz w:val="22"/>
                <w:szCs w:val="22"/>
              </w:rPr>
              <w:t>Mark Up [MKUP]</w:t>
            </w:r>
          </w:p>
        </w:tc>
        <w:tc>
          <w:tcPr>
            <w:tcW w:w="7158" w:type="dxa"/>
            <w:tcBorders>
              <w:top w:val="threeDEmboss" w:sz="6" w:space="0" w:color="auto"/>
              <w:left w:val="threeDEmboss" w:sz="6" w:space="0" w:color="auto"/>
              <w:bottom w:val="threeDEmboss" w:sz="6" w:space="0" w:color="auto"/>
              <w:right w:val="threeDEmboss" w:sz="6" w:space="0" w:color="auto"/>
            </w:tcBorders>
          </w:tcPr>
          <w:p w:rsidR="00891B5D" w:rsidRPr="00D25969" w:rsidRDefault="00891B5D" w:rsidP="005F247E">
            <w:pPr>
              <w:autoSpaceDE w:val="0"/>
              <w:autoSpaceDN w:val="0"/>
              <w:adjustRightInd w:val="0"/>
              <w:spacing w:line="360" w:lineRule="auto"/>
              <w:rPr>
                <w:sz w:val="22"/>
                <w:szCs w:val="22"/>
              </w:rPr>
            </w:pPr>
            <w:r w:rsidRPr="00D25969">
              <w:rPr>
                <w:sz w:val="22"/>
                <w:szCs w:val="22"/>
              </w:rPr>
              <w:t>The issuer agent issues securities (by debiting a dedicated issuance account) and delivers them onward with matching to a counterpart through a single instruction (MKUP).</w:t>
            </w:r>
          </w:p>
          <w:p w:rsidR="00891B5D" w:rsidRPr="00D25969" w:rsidRDefault="00891B5D" w:rsidP="005F247E">
            <w:pPr>
              <w:autoSpaceDE w:val="0"/>
              <w:autoSpaceDN w:val="0"/>
              <w:adjustRightInd w:val="0"/>
              <w:spacing w:line="360" w:lineRule="auto"/>
              <w:rPr>
                <w:sz w:val="22"/>
                <w:szCs w:val="22"/>
              </w:rPr>
            </w:pPr>
            <w:r w:rsidRPr="00D25969">
              <w:rPr>
                <w:sz w:val="22"/>
                <w:szCs w:val="22"/>
              </w:rPr>
              <w:t xml:space="preserve">In case of cross-border reconstitution request, the reconstructed securities to be distributed to the primary dealer (participant) holding an account in a foreign CSD have to be sent unmatched in T2S. The preferred way to inform the primary dealer about the instruction is via the </w:t>
            </w:r>
            <w:proofErr w:type="spellStart"/>
            <w:r w:rsidRPr="00D25969">
              <w:rPr>
                <w:sz w:val="22"/>
                <w:szCs w:val="22"/>
              </w:rPr>
              <w:t>allegement</w:t>
            </w:r>
            <w:proofErr w:type="spellEnd"/>
            <w:r w:rsidRPr="00D25969">
              <w:rPr>
                <w:sz w:val="22"/>
                <w:szCs w:val="22"/>
              </w:rPr>
              <w:t xml:space="preserve"> (sese.028)</w:t>
            </w:r>
          </w:p>
          <w:p w:rsidR="00891B5D" w:rsidRPr="00D25969" w:rsidRDefault="00891B5D" w:rsidP="005F247E">
            <w:pPr>
              <w:autoSpaceDE w:val="0"/>
              <w:autoSpaceDN w:val="0"/>
              <w:adjustRightInd w:val="0"/>
              <w:spacing w:line="360" w:lineRule="auto"/>
              <w:rPr>
                <w:sz w:val="22"/>
                <w:szCs w:val="22"/>
              </w:rPr>
            </w:pPr>
            <w:r w:rsidRPr="00D25969">
              <w:rPr>
                <w:sz w:val="22"/>
                <w:szCs w:val="22"/>
              </w:rPr>
              <w:t xml:space="preserve">The code is also used to convert REG S to REG 144 (United States Securities Act) or vice-versa. Cross-border in T2S is also requiring matching by a party of the other CSD. Here also an </w:t>
            </w:r>
            <w:proofErr w:type="spellStart"/>
            <w:r w:rsidRPr="00D25969">
              <w:rPr>
                <w:sz w:val="22"/>
                <w:szCs w:val="22"/>
              </w:rPr>
              <w:t>allegement</w:t>
            </w:r>
            <w:proofErr w:type="spellEnd"/>
            <w:r w:rsidRPr="00D25969">
              <w:rPr>
                <w:sz w:val="22"/>
                <w:szCs w:val="22"/>
              </w:rPr>
              <w:t xml:space="preserve"> is necessary.</w:t>
            </w:r>
          </w:p>
        </w:tc>
      </w:tr>
      <w:tr w:rsidR="00891B5D" w:rsidRPr="00185EB3" w:rsidTr="005F247E">
        <w:trPr>
          <w:trHeight w:val="406"/>
        </w:trPr>
        <w:tc>
          <w:tcPr>
            <w:tcW w:w="2127" w:type="dxa"/>
            <w:tcBorders>
              <w:top w:val="threeDEmboss" w:sz="6" w:space="0" w:color="auto"/>
              <w:left w:val="threeDEmboss" w:sz="6" w:space="0" w:color="auto"/>
              <w:bottom w:val="threeDEmboss" w:sz="6" w:space="0" w:color="auto"/>
              <w:right w:val="threeDEmboss" w:sz="6" w:space="0" w:color="auto"/>
            </w:tcBorders>
          </w:tcPr>
          <w:p w:rsidR="00891B5D" w:rsidRPr="00D25969" w:rsidRDefault="00891B5D" w:rsidP="005F247E">
            <w:pPr>
              <w:autoSpaceDE w:val="0"/>
              <w:autoSpaceDN w:val="0"/>
              <w:adjustRightInd w:val="0"/>
              <w:spacing w:line="360" w:lineRule="auto"/>
              <w:rPr>
                <w:sz w:val="22"/>
                <w:szCs w:val="22"/>
              </w:rPr>
            </w:pPr>
            <w:r w:rsidRPr="00D25969">
              <w:rPr>
                <w:sz w:val="22"/>
                <w:szCs w:val="22"/>
              </w:rPr>
              <w:t>Non Syndicated [NSYN]</w:t>
            </w:r>
          </w:p>
        </w:tc>
        <w:tc>
          <w:tcPr>
            <w:tcW w:w="7158" w:type="dxa"/>
            <w:tcBorders>
              <w:top w:val="threeDEmboss" w:sz="6" w:space="0" w:color="auto"/>
              <w:left w:val="threeDEmboss" w:sz="6" w:space="0" w:color="auto"/>
              <w:bottom w:val="threeDEmboss" w:sz="6" w:space="0" w:color="auto"/>
              <w:right w:val="threeDEmboss" w:sz="6" w:space="0" w:color="auto"/>
            </w:tcBorders>
          </w:tcPr>
          <w:p w:rsidR="00891B5D" w:rsidRPr="00D25969" w:rsidRDefault="00891B5D" w:rsidP="005F247E">
            <w:pPr>
              <w:autoSpaceDE w:val="0"/>
              <w:autoSpaceDN w:val="0"/>
              <w:adjustRightInd w:val="0"/>
              <w:spacing w:line="360" w:lineRule="auto"/>
              <w:rPr>
                <w:sz w:val="22"/>
                <w:szCs w:val="22"/>
              </w:rPr>
            </w:pPr>
            <w:r w:rsidRPr="00D25969">
              <w:rPr>
                <w:sz w:val="22"/>
                <w:szCs w:val="22"/>
              </w:rPr>
              <w:t>The issuer agent issues securities via a Primary Market Distribution (by debiting dedicated issuance account) and delivers them onward with matching to a counterpart through a single instruction</w:t>
            </w:r>
          </w:p>
        </w:tc>
      </w:tr>
      <w:tr w:rsidR="00891B5D" w:rsidRPr="00185EB3" w:rsidTr="005F247E">
        <w:trPr>
          <w:trHeight w:val="20"/>
        </w:trPr>
        <w:tc>
          <w:tcPr>
            <w:tcW w:w="2127" w:type="dxa"/>
            <w:tcBorders>
              <w:top w:val="threeDEmboss" w:sz="6" w:space="0" w:color="auto"/>
              <w:left w:val="threeDEmboss" w:sz="6" w:space="0" w:color="auto"/>
              <w:bottom w:val="threeDEmboss" w:sz="6" w:space="0" w:color="auto"/>
              <w:right w:val="threeDEmboss" w:sz="6" w:space="0" w:color="auto"/>
            </w:tcBorders>
          </w:tcPr>
          <w:p w:rsidR="00891B5D" w:rsidRPr="00D25969" w:rsidRDefault="00891B5D" w:rsidP="005F247E">
            <w:pPr>
              <w:autoSpaceDE w:val="0"/>
              <w:autoSpaceDN w:val="0"/>
              <w:adjustRightInd w:val="0"/>
              <w:spacing w:line="360" w:lineRule="auto"/>
              <w:rPr>
                <w:sz w:val="22"/>
                <w:szCs w:val="22"/>
              </w:rPr>
            </w:pPr>
            <w:r w:rsidRPr="00D25969">
              <w:rPr>
                <w:sz w:val="22"/>
                <w:szCs w:val="22"/>
              </w:rPr>
              <w:t>Sell Buy Back [SBBK]</w:t>
            </w:r>
          </w:p>
        </w:tc>
        <w:tc>
          <w:tcPr>
            <w:tcW w:w="7158" w:type="dxa"/>
            <w:tcBorders>
              <w:top w:val="threeDEmboss" w:sz="6" w:space="0" w:color="auto"/>
              <w:left w:val="threeDEmboss" w:sz="6" w:space="0" w:color="auto"/>
              <w:bottom w:val="threeDEmboss" w:sz="6" w:space="0" w:color="auto"/>
              <w:right w:val="threeDEmboss" w:sz="6" w:space="0" w:color="auto"/>
            </w:tcBorders>
          </w:tcPr>
          <w:p w:rsidR="00891B5D" w:rsidRPr="00D25969" w:rsidRDefault="00891B5D" w:rsidP="005F247E">
            <w:pPr>
              <w:autoSpaceDE w:val="0"/>
              <w:autoSpaceDN w:val="0"/>
              <w:adjustRightInd w:val="0"/>
              <w:spacing w:line="360" w:lineRule="auto"/>
              <w:rPr>
                <w:sz w:val="22"/>
                <w:szCs w:val="22"/>
              </w:rPr>
            </w:pPr>
            <w:r w:rsidRPr="00D25969">
              <w:rPr>
                <w:sz w:val="22"/>
                <w:szCs w:val="22"/>
              </w:rPr>
              <w:t>This code will be necessary in the context of cross-border (it is a REPO variant)</w:t>
            </w:r>
          </w:p>
        </w:tc>
      </w:tr>
      <w:tr w:rsidR="00891B5D" w:rsidRPr="00185EB3" w:rsidTr="005F247E">
        <w:trPr>
          <w:trHeight w:val="368"/>
        </w:trPr>
        <w:tc>
          <w:tcPr>
            <w:tcW w:w="2127" w:type="dxa"/>
            <w:tcBorders>
              <w:top w:val="threeDEmboss" w:sz="6" w:space="0" w:color="auto"/>
              <w:left w:val="threeDEmboss" w:sz="6" w:space="0" w:color="auto"/>
              <w:bottom w:val="threeDEmboss" w:sz="6" w:space="0" w:color="auto"/>
              <w:right w:val="threeDEmboss" w:sz="6" w:space="0" w:color="auto"/>
            </w:tcBorders>
          </w:tcPr>
          <w:p w:rsidR="00891B5D" w:rsidRPr="00D25969" w:rsidRDefault="00891B5D" w:rsidP="005F247E">
            <w:pPr>
              <w:autoSpaceDE w:val="0"/>
              <w:autoSpaceDN w:val="0"/>
              <w:adjustRightInd w:val="0"/>
              <w:spacing w:line="360" w:lineRule="auto"/>
              <w:rPr>
                <w:sz w:val="22"/>
                <w:szCs w:val="22"/>
              </w:rPr>
            </w:pPr>
            <w:r w:rsidRPr="00D25969">
              <w:rPr>
                <w:sz w:val="22"/>
                <w:szCs w:val="22"/>
              </w:rPr>
              <w:t>Syndicate Underwriters [SYND]</w:t>
            </w:r>
          </w:p>
        </w:tc>
        <w:tc>
          <w:tcPr>
            <w:tcW w:w="7158" w:type="dxa"/>
            <w:tcBorders>
              <w:top w:val="threeDEmboss" w:sz="6" w:space="0" w:color="auto"/>
              <w:left w:val="threeDEmboss" w:sz="6" w:space="0" w:color="auto"/>
              <w:bottom w:val="threeDEmboss" w:sz="6" w:space="0" w:color="auto"/>
              <w:right w:val="threeDEmboss" w:sz="6" w:space="0" w:color="auto"/>
            </w:tcBorders>
          </w:tcPr>
          <w:p w:rsidR="00891B5D" w:rsidRPr="00D25969" w:rsidRDefault="00891B5D" w:rsidP="005F247E">
            <w:pPr>
              <w:autoSpaceDE w:val="0"/>
              <w:autoSpaceDN w:val="0"/>
              <w:adjustRightInd w:val="0"/>
              <w:spacing w:line="360" w:lineRule="auto"/>
              <w:rPr>
                <w:sz w:val="22"/>
                <w:szCs w:val="22"/>
              </w:rPr>
            </w:pPr>
            <w:r>
              <w:rPr>
                <w:sz w:val="22"/>
                <w:szCs w:val="22"/>
              </w:rPr>
              <w:t>T</w:t>
            </w:r>
            <w:r w:rsidRPr="00D25969">
              <w:rPr>
                <w:sz w:val="22"/>
                <w:szCs w:val="22"/>
              </w:rPr>
              <w:t xml:space="preserve">he issuer agent issues securities (by debiting dedicated issuance account) and delivers them onward with matching to a counterpart as outcome of a primary </w:t>
            </w:r>
            <w:r w:rsidRPr="00D25969">
              <w:rPr>
                <w:sz w:val="22"/>
                <w:szCs w:val="22"/>
              </w:rPr>
              <w:lastRenderedPageBreak/>
              <w:t xml:space="preserve">market. The same process may apply in the context of new issues / Primary market distribution </w:t>
            </w:r>
          </w:p>
        </w:tc>
      </w:tr>
      <w:tr w:rsidR="00891B5D" w:rsidRPr="00185EB3" w:rsidTr="005F247E">
        <w:trPr>
          <w:trHeight w:val="222"/>
        </w:trPr>
        <w:tc>
          <w:tcPr>
            <w:tcW w:w="2127" w:type="dxa"/>
            <w:tcBorders>
              <w:top w:val="threeDEmboss" w:sz="6" w:space="0" w:color="auto"/>
              <w:left w:val="threeDEmboss" w:sz="6" w:space="0" w:color="auto"/>
              <w:bottom w:val="threeDEmboss" w:sz="6" w:space="0" w:color="auto"/>
              <w:right w:val="threeDEmboss" w:sz="6" w:space="0" w:color="auto"/>
            </w:tcBorders>
          </w:tcPr>
          <w:p w:rsidR="00891B5D" w:rsidRPr="00D25969" w:rsidRDefault="00891B5D" w:rsidP="005F247E">
            <w:pPr>
              <w:autoSpaceDE w:val="0"/>
              <w:autoSpaceDN w:val="0"/>
              <w:adjustRightInd w:val="0"/>
              <w:spacing w:line="360" w:lineRule="auto"/>
              <w:rPr>
                <w:sz w:val="22"/>
                <w:szCs w:val="22"/>
              </w:rPr>
            </w:pPr>
            <w:r w:rsidRPr="00D25969">
              <w:rPr>
                <w:sz w:val="22"/>
                <w:szCs w:val="22"/>
              </w:rPr>
              <w:lastRenderedPageBreak/>
              <w:t>Withdrawal [REDI]</w:t>
            </w:r>
          </w:p>
        </w:tc>
        <w:tc>
          <w:tcPr>
            <w:tcW w:w="7158" w:type="dxa"/>
            <w:tcBorders>
              <w:top w:val="threeDEmboss" w:sz="6" w:space="0" w:color="auto"/>
              <w:left w:val="threeDEmboss" w:sz="6" w:space="0" w:color="auto"/>
              <w:bottom w:val="threeDEmboss" w:sz="6" w:space="0" w:color="auto"/>
              <w:right w:val="threeDEmboss" w:sz="6" w:space="0" w:color="auto"/>
            </w:tcBorders>
          </w:tcPr>
          <w:p w:rsidR="00891B5D" w:rsidRPr="00D25969" w:rsidRDefault="00891B5D" w:rsidP="005F247E">
            <w:pPr>
              <w:autoSpaceDE w:val="0"/>
              <w:autoSpaceDN w:val="0"/>
              <w:adjustRightInd w:val="0"/>
              <w:spacing w:line="360" w:lineRule="auto"/>
              <w:rPr>
                <w:sz w:val="22"/>
                <w:szCs w:val="22"/>
              </w:rPr>
            </w:pPr>
            <w:r w:rsidRPr="00D25969">
              <w:rPr>
                <w:sz w:val="22"/>
                <w:szCs w:val="22"/>
              </w:rPr>
              <w:t>If there is a cross-border paying agent, they want use this code to tell that they want to remove some securities from their account.</w:t>
            </w:r>
          </w:p>
        </w:tc>
      </w:tr>
    </w:tbl>
    <w:p w:rsidR="00C41DDB" w:rsidRPr="00E8579D" w:rsidRDefault="00AE4D14" w:rsidP="00C41DDB">
      <w:pPr>
        <w:numPr>
          <w:ilvl w:val="0"/>
          <w:numId w:val="6"/>
        </w:numPr>
        <w:rPr>
          <w:b/>
          <w:lang w:val="en-GB"/>
        </w:rPr>
      </w:pPr>
      <w:r>
        <w:rPr>
          <w:b/>
          <w:lang w:val="en-GB"/>
        </w:rPr>
        <w:br w:type="page"/>
      </w:r>
      <w:r w:rsidR="00C41DDB">
        <w:rPr>
          <w:b/>
          <w:lang w:val="en-GB"/>
        </w:rPr>
        <w:lastRenderedPageBreak/>
        <w:t>SEG recommendation:</w:t>
      </w:r>
    </w:p>
    <w:p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rsidTr="00130EB9">
        <w:trPr>
          <w:gridAfter w:val="3"/>
          <w:wAfter w:w="5623" w:type="dxa"/>
        </w:trPr>
        <w:tc>
          <w:tcPr>
            <w:tcW w:w="1242" w:type="dxa"/>
            <w:gridSpan w:val="2"/>
          </w:tcPr>
          <w:p w:rsidR="00C40729" w:rsidRPr="00E3221E" w:rsidRDefault="00C40729" w:rsidP="0025138E">
            <w:pPr>
              <w:rPr>
                <w:b/>
                <w:szCs w:val="24"/>
                <w:lang w:val="en-GB"/>
              </w:rPr>
            </w:pPr>
            <w:r w:rsidRPr="00E3221E">
              <w:rPr>
                <w:b/>
                <w:szCs w:val="24"/>
                <w:lang w:val="en-GB"/>
              </w:rPr>
              <w:t>Consider</w:t>
            </w:r>
          </w:p>
        </w:tc>
        <w:tc>
          <w:tcPr>
            <w:tcW w:w="567" w:type="dxa"/>
          </w:tcPr>
          <w:p w:rsidR="00C40729" w:rsidRPr="00AD7CD5" w:rsidRDefault="005D4DB6" w:rsidP="005D4DB6">
            <w:pPr>
              <w:jc w:val="cente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rsidR="00C40729" w:rsidRPr="00E3221E" w:rsidRDefault="00C40729" w:rsidP="0025138E">
            <w:pPr>
              <w:rPr>
                <w:b/>
                <w:szCs w:val="24"/>
                <w:lang w:val="en-GB"/>
              </w:rPr>
            </w:pPr>
            <w:r w:rsidRPr="00E3221E">
              <w:rPr>
                <w:b/>
                <w:szCs w:val="24"/>
                <w:lang w:val="en-GB"/>
              </w:rPr>
              <w:t>Timing</w:t>
            </w:r>
          </w:p>
        </w:tc>
      </w:tr>
      <w:tr w:rsidR="00130EB9" w:rsidRPr="006D7FF8" w:rsidTr="00130EB9">
        <w:trPr>
          <w:gridBefore w:val="1"/>
          <w:gridAfter w:val="1"/>
          <w:wBefore w:w="1059" w:type="dxa"/>
          <w:wAfter w:w="945" w:type="dxa"/>
          <w:trHeight w:val="501"/>
        </w:trPr>
        <w:tc>
          <w:tcPr>
            <w:tcW w:w="750" w:type="dxa"/>
            <w:gridSpan w:val="2"/>
            <w:tcBorders>
              <w:left w:val="nil"/>
              <w:bottom w:val="nil"/>
            </w:tcBorders>
          </w:tcPr>
          <w:p w:rsidR="00130EB9" w:rsidRDefault="00130EB9" w:rsidP="0025138E">
            <w:pPr>
              <w:rPr>
                <w:szCs w:val="24"/>
                <w:lang w:val="en-GB"/>
              </w:rPr>
            </w:pPr>
          </w:p>
        </w:tc>
        <w:tc>
          <w:tcPr>
            <w:tcW w:w="5954" w:type="dxa"/>
            <w:gridSpan w:val="2"/>
          </w:tcPr>
          <w:p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FF4AEF">
              <w:rPr>
                <w:b/>
                <w:szCs w:val="24"/>
                <w:lang w:val="en-GB"/>
              </w:rPr>
              <w:t>: 201</w:t>
            </w:r>
            <w:r w:rsidR="00801493">
              <w:rPr>
                <w:b/>
                <w:szCs w:val="24"/>
                <w:lang w:val="en-GB"/>
              </w:rPr>
              <w:t>6</w:t>
            </w:r>
            <w:r>
              <w:rPr>
                <w:b/>
                <w:szCs w:val="24"/>
                <w:lang w:val="en-GB"/>
              </w:rPr>
              <w:t>/201</w:t>
            </w:r>
            <w:r w:rsidR="00801493">
              <w:rPr>
                <w:b/>
                <w:szCs w:val="24"/>
                <w:lang w:val="en-GB"/>
              </w:rPr>
              <w:t>7</w:t>
            </w:r>
          </w:p>
          <w:p w:rsidR="00130EB9" w:rsidRPr="006D7FF8" w:rsidRDefault="00130EB9" w:rsidP="00801493">
            <w:pPr>
              <w:spacing w:before="0"/>
              <w:rPr>
                <w:szCs w:val="24"/>
                <w:lang w:val="en-GB"/>
              </w:rPr>
            </w:pPr>
            <w:r>
              <w:rPr>
                <w:szCs w:val="24"/>
                <w:lang w:val="en-GB"/>
              </w:rPr>
              <w:t>(the change will be considered for implementation in the yearly maintenance cycle which starts in 201</w:t>
            </w:r>
            <w:r w:rsidR="00801493">
              <w:rPr>
                <w:szCs w:val="24"/>
                <w:lang w:val="en-GB"/>
              </w:rPr>
              <w:t>6</w:t>
            </w:r>
            <w:r>
              <w:rPr>
                <w:szCs w:val="24"/>
                <w:lang w:val="en-GB"/>
              </w:rPr>
              <w:t xml:space="preserve"> and completes with the publication of new messag</w:t>
            </w:r>
            <w:r w:rsidR="00EB6791">
              <w:rPr>
                <w:szCs w:val="24"/>
                <w:lang w:val="en-GB"/>
              </w:rPr>
              <w:t>e versions in the spring of 201</w:t>
            </w:r>
            <w:r w:rsidR="00801493">
              <w:rPr>
                <w:szCs w:val="24"/>
                <w:lang w:val="en-GB"/>
              </w:rPr>
              <w:t>7</w:t>
            </w:r>
            <w:r>
              <w:rPr>
                <w:szCs w:val="24"/>
                <w:lang w:val="en-GB"/>
              </w:rPr>
              <w:t>)</w:t>
            </w:r>
          </w:p>
        </w:tc>
        <w:tc>
          <w:tcPr>
            <w:tcW w:w="425" w:type="dxa"/>
            <w:tcBorders>
              <w:bottom w:val="single" w:sz="4" w:space="0" w:color="auto"/>
            </w:tcBorders>
          </w:tcPr>
          <w:p w:rsidR="00130EB9" w:rsidRPr="00AD7CD5" w:rsidRDefault="005D4DB6" w:rsidP="0025138E">
            <w:pPr>
              <w:spacing w:before="0"/>
              <w:jc w:val="both"/>
              <w:rPr>
                <w:color w:val="FF0000"/>
                <w:szCs w:val="24"/>
                <w:lang w:val="en-GB"/>
              </w:rPr>
            </w:pPr>
            <w:r>
              <w:rPr>
                <w:color w:val="FF0000"/>
                <w:szCs w:val="24"/>
                <w:lang w:val="en-GB"/>
              </w:rPr>
              <w:t>X</w:t>
            </w:r>
          </w:p>
        </w:tc>
      </w:tr>
      <w:tr w:rsidR="00C40729" w:rsidRPr="006D7FF8" w:rsidTr="00130EB9">
        <w:trPr>
          <w:gridBefore w:val="1"/>
          <w:gridAfter w:val="1"/>
          <w:wBefore w:w="1059" w:type="dxa"/>
          <w:wAfter w:w="945" w:type="dxa"/>
          <w:trHeight w:val="501"/>
        </w:trPr>
        <w:tc>
          <w:tcPr>
            <w:tcW w:w="750" w:type="dxa"/>
            <w:gridSpan w:val="2"/>
            <w:tcBorders>
              <w:top w:val="nil"/>
              <w:left w:val="nil"/>
              <w:bottom w:val="nil"/>
            </w:tcBorders>
          </w:tcPr>
          <w:p w:rsidR="00C40729" w:rsidRDefault="00C40729" w:rsidP="0025138E">
            <w:pPr>
              <w:spacing w:before="0"/>
              <w:rPr>
                <w:szCs w:val="24"/>
                <w:lang w:val="en-GB"/>
              </w:rPr>
            </w:pPr>
          </w:p>
        </w:tc>
        <w:tc>
          <w:tcPr>
            <w:tcW w:w="5954" w:type="dxa"/>
            <w:gridSpan w:val="2"/>
          </w:tcPr>
          <w:p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rsidR="00C40729" w:rsidRPr="00AD7CD5" w:rsidRDefault="00C40729" w:rsidP="0025138E">
            <w:pPr>
              <w:spacing w:before="0"/>
              <w:jc w:val="center"/>
              <w:rPr>
                <w:color w:val="FF0000"/>
                <w:szCs w:val="24"/>
                <w:lang w:val="en-GB"/>
              </w:rPr>
            </w:pPr>
          </w:p>
        </w:tc>
      </w:tr>
      <w:tr w:rsidR="00C40729" w:rsidRPr="006D7FF8" w:rsidTr="00130EB9">
        <w:trPr>
          <w:gridBefore w:val="1"/>
          <w:wBefore w:w="1059" w:type="dxa"/>
          <w:trHeight w:val="511"/>
        </w:trPr>
        <w:tc>
          <w:tcPr>
            <w:tcW w:w="750" w:type="dxa"/>
            <w:gridSpan w:val="2"/>
            <w:tcBorders>
              <w:top w:val="nil"/>
              <w:left w:val="nil"/>
              <w:bottom w:val="nil"/>
            </w:tcBorders>
          </w:tcPr>
          <w:p w:rsidR="00C40729" w:rsidRDefault="00C40729" w:rsidP="0025138E">
            <w:pPr>
              <w:spacing w:before="0"/>
              <w:rPr>
                <w:szCs w:val="24"/>
                <w:lang w:val="en-GB"/>
              </w:rPr>
            </w:pPr>
          </w:p>
        </w:tc>
        <w:tc>
          <w:tcPr>
            <w:tcW w:w="5954" w:type="dxa"/>
            <w:gridSpan w:val="2"/>
          </w:tcPr>
          <w:p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rsidR="00C40729" w:rsidRPr="00AD7CD5" w:rsidRDefault="00C40729" w:rsidP="0025138E">
            <w:pPr>
              <w:jc w:val="center"/>
              <w:rPr>
                <w:color w:val="FF0000"/>
                <w:szCs w:val="24"/>
                <w:lang w:val="en-GB"/>
              </w:rPr>
            </w:pPr>
          </w:p>
        </w:tc>
        <w:tc>
          <w:tcPr>
            <w:tcW w:w="945" w:type="dxa"/>
            <w:tcBorders>
              <w:top w:val="nil"/>
              <w:bottom w:val="nil"/>
              <w:right w:val="nil"/>
            </w:tcBorders>
          </w:tcPr>
          <w:p w:rsidR="00C40729" w:rsidRDefault="00C40729" w:rsidP="0025138E">
            <w:pPr>
              <w:ind w:left="360"/>
              <w:jc w:val="both"/>
              <w:rPr>
                <w:szCs w:val="24"/>
                <w:lang w:val="en-GB"/>
              </w:rPr>
            </w:pPr>
          </w:p>
        </w:tc>
      </w:tr>
      <w:tr w:rsidR="00C40729" w:rsidRPr="006D7FF8" w:rsidTr="00130EB9">
        <w:trPr>
          <w:gridBefore w:val="1"/>
          <w:wBefore w:w="1059" w:type="dxa"/>
          <w:trHeight w:val="511"/>
        </w:trPr>
        <w:tc>
          <w:tcPr>
            <w:tcW w:w="750" w:type="dxa"/>
            <w:gridSpan w:val="2"/>
            <w:tcBorders>
              <w:top w:val="nil"/>
              <w:left w:val="nil"/>
              <w:bottom w:val="nil"/>
            </w:tcBorders>
          </w:tcPr>
          <w:p w:rsidR="00C40729" w:rsidRDefault="00C40729" w:rsidP="0025138E">
            <w:pPr>
              <w:spacing w:before="0"/>
              <w:rPr>
                <w:szCs w:val="24"/>
                <w:lang w:val="en-GB"/>
              </w:rPr>
            </w:pPr>
          </w:p>
        </w:tc>
        <w:tc>
          <w:tcPr>
            <w:tcW w:w="6379" w:type="dxa"/>
            <w:gridSpan w:val="3"/>
          </w:tcPr>
          <w:p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rsidR="00C40729" w:rsidRDefault="00C40729" w:rsidP="0025138E">
            <w:pPr>
              <w:ind w:left="360"/>
              <w:jc w:val="both"/>
              <w:rPr>
                <w:szCs w:val="24"/>
                <w:lang w:val="en-GB"/>
              </w:rPr>
            </w:pPr>
          </w:p>
          <w:p w:rsidR="00C40729" w:rsidRDefault="00C40729" w:rsidP="0025138E">
            <w:pPr>
              <w:ind w:left="360"/>
              <w:jc w:val="both"/>
              <w:rPr>
                <w:szCs w:val="24"/>
                <w:lang w:val="en-GB"/>
              </w:rPr>
            </w:pPr>
          </w:p>
        </w:tc>
      </w:tr>
    </w:tbl>
    <w:p w:rsidR="00C41DDB" w:rsidRDefault="00C41DDB" w:rsidP="00567F13">
      <w:pPr>
        <w:rPr>
          <w:szCs w:val="24"/>
          <w:lang w:val="en-GB"/>
        </w:rPr>
      </w:pPr>
      <w:r>
        <w:rPr>
          <w:szCs w:val="24"/>
          <w:lang w:val="en-GB"/>
        </w:rPr>
        <w:t>Comments:</w:t>
      </w:r>
    </w:p>
    <w:p w:rsidR="00C41DDB" w:rsidRDefault="00C41DDB" w:rsidP="00C41DDB">
      <w:pPr>
        <w:rPr>
          <w:szCs w:val="24"/>
          <w:lang w:val="en-GB"/>
        </w:rPr>
      </w:pPr>
    </w:p>
    <w:p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rsidTr="00C40729">
        <w:tc>
          <w:tcPr>
            <w:tcW w:w="1242" w:type="dxa"/>
          </w:tcPr>
          <w:p w:rsidR="00C41DDB" w:rsidRPr="00E3221E" w:rsidRDefault="00C41DDB" w:rsidP="00C41DDB">
            <w:pPr>
              <w:rPr>
                <w:b/>
                <w:szCs w:val="24"/>
                <w:lang w:val="en-GB"/>
              </w:rPr>
            </w:pPr>
            <w:r w:rsidRPr="00E3221E">
              <w:rPr>
                <w:b/>
                <w:szCs w:val="24"/>
                <w:lang w:val="en-GB"/>
              </w:rPr>
              <w:t>Reject</w:t>
            </w:r>
          </w:p>
        </w:tc>
        <w:tc>
          <w:tcPr>
            <w:tcW w:w="567" w:type="dxa"/>
          </w:tcPr>
          <w:p w:rsidR="00C41DDB" w:rsidRPr="00AD7CD5" w:rsidRDefault="00C41DDB" w:rsidP="00C41DDB">
            <w:pPr>
              <w:rPr>
                <w:color w:val="FF0000"/>
                <w:szCs w:val="24"/>
                <w:lang w:val="en-GB"/>
              </w:rPr>
            </w:pPr>
          </w:p>
        </w:tc>
      </w:tr>
    </w:tbl>
    <w:p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even" r:id="rId9"/>
      <w:headerReference w:type="default" r:id="rId10"/>
      <w:footerReference w:type="even" r:id="rId11"/>
      <w:footerReference w:type="default" r:id="rId12"/>
      <w:headerReference w:type="first" r:id="rId13"/>
      <w:footerReference w:type="first" r:id="rId14"/>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970" w:rsidRDefault="00502970">
      <w:r>
        <w:separator/>
      </w:r>
    </w:p>
  </w:endnote>
  <w:endnote w:type="continuationSeparator" w:id="0">
    <w:p w:rsidR="00502970" w:rsidRDefault="00502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04" w:rsidRDefault="00E74C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bookmarkEnd w:id="0"/>
  <w:p w:rsidR="00567F13" w:rsidRDefault="005D4DB6">
    <w:pPr>
      <w:pStyle w:val="Footer"/>
      <w:rPr>
        <w:rStyle w:val="PageNumber"/>
      </w:rPr>
    </w:pPr>
    <w:r>
      <w:fldChar w:fldCharType="begin"/>
    </w:r>
    <w:r>
      <w:instrText xml:space="preserve"> FILENAME   \* MERGEFORMAT </w:instrText>
    </w:r>
    <w:r>
      <w:fldChar w:fldCharType="separate"/>
    </w:r>
    <w:r w:rsidR="002840C8">
      <w:rPr>
        <w:noProof/>
      </w:rPr>
      <w:t>CR0610_T2S_TransactionCodes_v2</w:t>
    </w:r>
    <w:r>
      <w:fldChar w:fldCharType="end"/>
    </w:r>
    <w:r w:rsidR="00567F13">
      <w:tab/>
    </w:r>
    <w:r w:rsidR="009C07A0" w:rsidRPr="00372F39">
      <w:t xml:space="preserve">Submitted by </w:t>
    </w:r>
    <w:r w:rsidR="009C07A0" w:rsidRPr="00372F39">
      <w:rPr>
        <w:lang w:val="en-GB"/>
      </w:rPr>
      <w:t>Deutsche Bundesbank</w:t>
    </w:r>
    <w:r w:rsidR="009C07A0">
      <w:rPr>
        <w:lang w:val="en-GB"/>
      </w:rPr>
      <w:t xml:space="preserve"> on 31 May 2016</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2840C8">
      <w:rPr>
        <w:rStyle w:val="PageNumber"/>
        <w:noProof/>
      </w:rPr>
      <w:t>6</w:t>
    </w:r>
    <w:r w:rsidR="00567F13">
      <w:rPr>
        <w:rStyle w:val="PageNumber"/>
      </w:rPr>
      <w:fldChar w:fldCharType="end"/>
    </w:r>
  </w:p>
  <w:p w:rsidR="00567F13" w:rsidRDefault="00567F13">
    <w:pPr>
      <w:pStyle w:val="Footer"/>
      <w:rPr>
        <w:rStyle w:val="PageNumber"/>
      </w:rPr>
    </w:pPr>
  </w:p>
  <w:p w:rsidR="00567F13" w:rsidRDefault="00567F13" w:rsidP="000B65C7">
    <w:pPr>
      <w:pStyle w:val="Footer"/>
      <w:spacing w:befor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04" w:rsidRDefault="00E74C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970" w:rsidRDefault="00502970">
      <w:r>
        <w:separator/>
      </w:r>
    </w:p>
  </w:footnote>
  <w:footnote w:type="continuationSeparator" w:id="0">
    <w:p w:rsidR="00502970" w:rsidRDefault="00502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04" w:rsidRDefault="00E74C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04" w:rsidRPr="00801493" w:rsidRDefault="00801493">
    <w:pPr>
      <w:pStyle w:val="Header"/>
      <w:rPr>
        <w:lang w:val="fr-BE"/>
      </w:rPr>
    </w:pPr>
    <w:r>
      <w:rPr>
        <w:lang w:val="fr-BE"/>
      </w:rPr>
      <w:t xml:space="preserve">RA ID : </w:t>
    </w:r>
    <w:r w:rsidR="00091BDC">
      <w:rPr>
        <w:lang w:val="fr-BE"/>
      </w:rPr>
      <w:t>CR0610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04" w:rsidRDefault="00E74C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0843F5"/>
    <w:multiLevelType w:val="hybridMultilevel"/>
    <w:tmpl w:val="9992FA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118D0EE8"/>
    <w:multiLevelType w:val="hybridMultilevel"/>
    <w:tmpl w:val="198C7B38"/>
    <w:lvl w:ilvl="0" w:tplc="08090001">
      <w:start w:val="1"/>
      <w:numFmt w:val="bullet"/>
      <w:lvlText w:val=""/>
      <w:lvlJc w:val="left"/>
      <w:pPr>
        <w:ind w:left="371" w:hanging="360"/>
      </w:pPr>
      <w:rPr>
        <w:rFonts w:ascii="Symbol" w:hAnsi="Symbol" w:hint="default"/>
      </w:rPr>
    </w:lvl>
    <w:lvl w:ilvl="1" w:tplc="08090003" w:tentative="1">
      <w:start w:val="1"/>
      <w:numFmt w:val="bullet"/>
      <w:lvlText w:val="o"/>
      <w:lvlJc w:val="left"/>
      <w:pPr>
        <w:ind w:left="1091" w:hanging="360"/>
      </w:pPr>
      <w:rPr>
        <w:rFonts w:ascii="Courier New" w:hAnsi="Courier New" w:cs="Courier New" w:hint="default"/>
      </w:rPr>
    </w:lvl>
    <w:lvl w:ilvl="2" w:tplc="08090005" w:tentative="1">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10">
    <w:nsid w:val="1A9C0FDC"/>
    <w:multiLevelType w:val="hybridMultilevel"/>
    <w:tmpl w:val="2228AC2C"/>
    <w:lvl w:ilvl="0" w:tplc="72C21F32">
      <w:start w:val="1"/>
      <w:numFmt w:val="decimal"/>
      <w:lvlText w:val="%1)"/>
      <w:lvlJc w:val="left"/>
      <w:pPr>
        <w:ind w:left="1080" w:hanging="360"/>
      </w:pPr>
      <w:rPr>
        <w:rFonts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1EE456A3"/>
    <w:multiLevelType w:val="hybridMultilevel"/>
    <w:tmpl w:val="CC929F86"/>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30EC1DC0"/>
    <w:multiLevelType w:val="hybridMultilevel"/>
    <w:tmpl w:val="40488B88"/>
    <w:lvl w:ilvl="0" w:tplc="46049302">
      <w:start w:val="1"/>
      <w:numFmt w:val="bullet"/>
      <w:lvlText w:val="-"/>
      <w:lvlJc w:val="left"/>
      <w:pPr>
        <w:ind w:left="720" w:hanging="360"/>
      </w:pPr>
      <w:rPr>
        <w:rFonts w:ascii="Times New Roman" w:eastAsia="Times"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85B2860"/>
    <w:multiLevelType w:val="hybridMultilevel"/>
    <w:tmpl w:val="6570DD50"/>
    <w:lvl w:ilvl="0" w:tplc="0809000F">
      <w:start w:val="1"/>
      <w:numFmt w:val="decimal"/>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8">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9387688"/>
    <w:multiLevelType w:val="hybridMultilevel"/>
    <w:tmpl w:val="1A78A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68D5634"/>
    <w:multiLevelType w:val="hybridMultilevel"/>
    <w:tmpl w:val="7C4AC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21"/>
  </w:num>
  <w:num w:numId="6">
    <w:abstractNumId w:val="11"/>
  </w:num>
  <w:num w:numId="7">
    <w:abstractNumId w:val="14"/>
  </w:num>
  <w:num w:numId="8">
    <w:abstractNumId w:val="12"/>
  </w:num>
  <w:num w:numId="9">
    <w:abstractNumId w:val="20"/>
  </w:num>
  <w:num w:numId="10">
    <w:abstractNumId w:val="5"/>
  </w:num>
  <w:num w:numId="11">
    <w:abstractNumId w:val="8"/>
  </w:num>
  <w:num w:numId="12">
    <w:abstractNumId w:val="13"/>
  </w:num>
  <w:num w:numId="13">
    <w:abstractNumId w:val="4"/>
  </w:num>
  <w:num w:numId="14">
    <w:abstractNumId w:val="6"/>
  </w:num>
  <w:num w:numId="15">
    <w:abstractNumId w:val="18"/>
  </w:num>
  <w:num w:numId="16">
    <w:abstractNumId w:val="16"/>
  </w:num>
  <w:num w:numId="17">
    <w:abstractNumId w:val="15"/>
  </w:num>
  <w:num w:numId="18">
    <w:abstractNumId w:val="9"/>
  </w:num>
  <w:num w:numId="19">
    <w:abstractNumId w:val="17"/>
  </w:num>
  <w:num w:numId="20">
    <w:abstractNumId w:val="22"/>
  </w:num>
  <w:num w:numId="21">
    <w:abstractNumId w:val="10"/>
  </w:num>
  <w:num w:numId="22">
    <w:abstractNumId w:val="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C2F"/>
    <w:rsid w:val="000026F5"/>
    <w:rsid w:val="000127ED"/>
    <w:rsid w:val="00021C86"/>
    <w:rsid w:val="0003395A"/>
    <w:rsid w:val="000408BA"/>
    <w:rsid w:val="00041661"/>
    <w:rsid w:val="000558EF"/>
    <w:rsid w:val="0006293F"/>
    <w:rsid w:val="00070308"/>
    <w:rsid w:val="00080D3A"/>
    <w:rsid w:val="000823AA"/>
    <w:rsid w:val="00082743"/>
    <w:rsid w:val="000837C7"/>
    <w:rsid w:val="00083C96"/>
    <w:rsid w:val="00091BDC"/>
    <w:rsid w:val="000A172E"/>
    <w:rsid w:val="000A20E4"/>
    <w:rsid w:val="000B65C7"/>
    <w:rsid w:val="000C015D"/>
    <w:rsid w:val="000D5D39"/>
    <w:rsid w:val="000E2471"/>
    <w:rsid w:val="000E7941"/>
    <w:rsid w:val="000F3C8B"/>
    <w:rsid w:val="000F43E3"/>
    <w:rsid w:val="00101212"/>
    <w:rsid w:val="00101D5F"/>
    <w:rsid w:val="00105754"/>
    <w:rsid w:val="0011460B"/>
    <w:rsid w:val="00130EB9"/>
    <w:rsid w:val="00134B0F"/>
    <w:rsid w:val="0014379C"/>
    <w:rsid w:val="001438E7"/>
    <w:rsid w:val="00153ED1"/>
    <w:rsid w:val="00163DB3"/>
    <w:rsid w:val="001711D3"/>
    <w:rsid w:val="00185453"/>
    <w:rsid w:val="00185E8E"/>
    <w:rsid w:val="00185EB3"/>
    <w:rsid w:val="001B1858"/>
    <w:rsid w:val="001D0D1B"/>
    <w:rsid w:val="001D176B"/>
    <w:rsid w:val="001D20B3"/>
    <w:rsid w:val="001E287E"/>
    <w:rsid w:val="001E2B1C"/>
    <w:rsid w:val="001E3BCF"/>
    <w:rsid w:val="00217122"/>
    <w:rsid w:val="00217AE9"/>
    <w:rsid w:val="00225AA9"/>
    <w:rsid w:val="00230574"/>
    <w:rsid w:val="00231CFF"/>
    <w:rsid w:val="002472D9"/>
    <w:rsid w:val="002509A2"/>
    <w:rsid w:val="0025138E"/>
    <w:rsid w:val="002521C9"/>
    <w:rsid w:val="002711E6"/>
    <w:rsid w:val="002840C8"/>
    <w:rsid w:val="002904C8"/>
    <w:rsid w:val="002B0567"/>
    <w:rsid w:val="002D549A"/>
    <w:rsid w:val="002E014D"/>
    <w:rsid w:val="002E27A9"/>
    <w:rsid w:val="002E3DA9"/>
    <w:rsid w:val="003006F2"/>
    <w:rsid w:val="003014E7"/>
    <w:rsid w:val="00303E94"/>
    <w:rsid w:val="00304151"/>
    <w:rsid w:val="003061F6"/>
    <w:rsid w:val="003122CD"/>
    <w:rsid w:val="00316F04"/>
    <w:rsid w:val="00320A89"/>
    <w:rsid w:val="00324C6F"/>
    <w:rsid w:val="00332E8F"/>
    <w:rsid w:val="00336209"/>
    <w:rsid w:val="00336ED6"/>
    <w:rsid w:val="00360300"/>
    <w:rsid w:val="00380350"/>
    <w:rsid w:val="00380928"/>
    <w:rsid w:val="00386B78"/>
    <w:rsid w:val="003A1EBF"/>
    <w:rsid w:val="003A3D7D"/>
    <w:rsid w:val="003B261A"/>
    <w:rsid w:val="003C0213"/>
    <w:rsid w:val="003C0267"/>
    <w:rsid w:val="003C3840"/>
    <w:rsid w:val="003D56E3"/>
    <w:rsid w:val="003E59BF"/>
    <w:rsid w:val="003E67E5"/>
    <w:rsid w:val="003F1C24"/>
    <w:rsid w:val="003F547E"/>
    <w:rsid w:val="003F57CE"/>
    <w:rsid w:val="003F6B05"/>
    <w:rsid w:val="00401998"/>
    <w:rsid w:val="00427966"/>
    <w:rsid w:val="0044313F"/>
    <w:rsid w:val="00445D10"/>
    <w:rsid w:val="00446B25"/>
    <w:rsid w:val="004475F9"/>
    <w:rsid w:val="0045022C"/>
    <w:rsid w:val="00451986"/>
    <w:rsid w:val="00462051"/>
    <w:rsid w:val="00465900"/>
    <w:rsid w:val="00473145"/>
    <w:rsid w:val="004961F1"/>
    <w:rsid w:val="004A02CE"/>
    <w:rsid w:val="004A168F"/>
    <w:rsid w:val="004B5A22"/>
    <w:rsid w:val="004E1F21"/>
    <w:rsid w:val="004E63E4"/>
    <w:rsid w:val="004F0578"/>
    <w:rsid w:val="004F0934"/>
    <w:rsid w:val="004F61D5"/>
    <w:rsid w:val="0050171A"/>
    <w:rsid w:val="00502970"/>
    <w:rsid w:val="0052302E"/>
    <w:rsid w:val="005246BE"/>
    <w:rsid w:val="005411C7"/>
    <w:rsid w:val="00555709"/>
    <w:rsid w:val="00563FFF"/>
    <w:rsid w:val="005677B8"/>
    <w:rsid w:val="00567F13"/>
    <w:rsid w:val="00573C83"/>
    <w:rsid w:val="00577861"/>
    <w:rsid w:val="00577BCC"/>
    <w:rsid w:val="005810CA"/>
    <w:rsid w:val="0059377D"/>
    <w:rsid w:val="00594A5F"/>
    <w:rsid w:val="005960E2"/>
    <w:rsid w:val="00596453"/>
    <w:rsid w:val="005A7F37"/>
    <w:rsid w:val="005B4CAC"/>
    <w:rsid w:val="005B602E"/>
    <w:rsid w:val="005C4C5F"/>
    <w:rsid w:val="005D06FE"/>
    <w:rsid w:val="005D4DB6"/>
    <w:rsid w:val="005E1210"/>
    <w:rsid w:val="005E27E0"/>
    <w:rsid w:val="005E3784"/>
    <w:rsid w:val="005E46E4"/>
    <w:rsid w:val="005F05DB"/>
    <w:rsid w:val="005F2E6B"/>
    <w:rsid w:val="006043A9"/>
    <w:rsid w:val="00610B1B"/>
    <w:rsid w:val="00610F9A"/>
    <w:rsid w:val="00616CBA"/>
    <w:rsid w:val="00631A43"/>
    <w:rsid w:val="0063312E"/>
    <w:rsid w:val="00633B0A"/>
    <w:rsid w:val="006643DC"/>
    <w:rsid w:val="006A02BC"/>
    <w:rsid w:val="006A7B96"/>
    <w:rsid w:val="006B20DC"/>
    <w:rsid w:val="006D4A37"/>
    <w:rsid w:val="00706604"/>
    <w:rsid w:val="007118C4"/>
    <w:rsid w:val="00723DE0"/>
    <w:rsid w:val="00732595"/>
    <w:rsid w:val="0074349F"/>
    <w:rsid w:val="0075466C"/>
    <w:rsid w:val="0075618C"/>
    <w:rsid w:val="00774921"/>
    <w:rsid w:val="00780877"/>
    <w:rsid w:val="00783891"/>
    <w:rsid w:val="007949EA"/>
    <w:rsid w:val="007A4CCC"/>
    <w:rsid w:val="007A6E0D"/>
    <w:rsid w:val="007A770C"/>
    <w:rsid w:val="007B3927"/>
    <w:rsid w:val="007C7627"/>
    <w:rsid w:val="007C7AB4"/>
    <w:rsid w:val="007C7CD2"/>
    <w:rsid w:val="007D69B5"/>
    <w:rsid w:val="007D6A9F"/>
    <w:rsid w:val="007E64D9"/>
    <w:rsid w:val="007F6A8C"/>
    <w:rsid w:val="00801493"/>
    <w:rsid w:val="008050F5"/>
    <w:rsid w:val="0081068B"/>
    <w:rsid w:val="00812324"/>
    <w:rsid w:val="00814D4C"/>
    <w:rsid w:val="008265E8"/>
    <w:rsid w:val="008270CD"/>
    <w:rsid w:val="008270DF"/>
    <w:rsid w:val="0084123C"/>
    <w:rsid w:val="008438AF"/>
    <w:rsid w:val="00843FE8"/>
    <w:rsid w:val="0085003B"/>
    <w:rsid w:val="00854FA6"/>
    <w:rsid w:val="0085530C"/>
    <w:rsid w:val="00861DA2"/>
    <w:rsid w:val="0086406A"/>
    <w:rsid w:val="008656A6"/>
    <w:rsid w:val="00865C2F"/>
    <w:rsid w:val="0086676E"/>
    <w:rsid w:val="00875210"/>
    <w:rsid w:val="008869D6"/>
    <w:rsid w:val="00891B5D"/>
    <w:rsid w:val="008A7F65"/>
    <w:rsid w:val="008F5C90"/>
    <w:rsid w:val="00906C6A"/>
    <w:rsid w:val="00914273"/>
    <w:rsid w:val="00916A80"/>
    <w:rsid w:val="009279BF"/>
    <w:rsid w:val="00937D26"/>
    <w:rsid w:val="00951C86"/>
    <w:rsid w:val="00956D7A"/>
    <w:rsid w:val="00965199"/>
    <w:rsid w:val="00966046"/>
    <w:rsid w:val="009770EE"/>
    <w:rsid w:val="009C07A0"/>
    <w:rsid w:val="009C1445"/>
    <w:rsid w:val="009E588A"/>
    <w:rsid w:val="00A10221"/>
    <w:rsid w:val="00A21B8D"/>
    <w:rsid w:val="00A22F1A"/>
    <w:rsid w:val="00A25B84"/>
    <w:rsid w:val="00A46877"/>
    <w:rsid w:val="00A47C6F"/>
    <w:rsid w:val="00A5418C"/>
    <w:rsid w:val="00A5492F"/>
    <w:rsid w:val="00A56D54"/>
    <w:rsid w:val="00A60DC3"/>
    <w:rsid w:val="00A60E56"/>
    <w:rsid w:val="00A832CE"/>
    <w:rsid w:val="00A91F56"/>
    <w:rsid w:val="00AA5E76"/>
    <w:rsid w:val="00AD7CD5"/>
    <w:rsid w:val="00AE0A90"/>
    <w:rsid w:val="00AE4D14"/>
    <w:rsid w:val="00AF09E1"/>
    <w:rsid w:val="00AF2EBF"/>
    <w:rsid w:val="00B01132"/>
    <w:rsid w:val="00B06CA8"/>
    <w:rsid w:val="00B21761"/>
    <w:rsid w:val="00B21FA3"/>
    <w:rsid w:val="00B307A7"/>
    <w:rsid w:val="00B30D86"/>
    <w:rsid w:val="00B44DEE"/>
    <w:rsid w:val="00B45490"/>
    <w:rsid w:val="00B4568F"/>
    <w:rsid w:val="00B53603"/>
    <w:rsid w:val="00B5520C"/>
    <w:rsid w:val="00B57C1F"/>
    <w:rsid w:val="00B70B84"/>
    <w:rsid w:val="00B8336E"/>
    <w:rsid w:val="00B86574"/>
    <w:rsid w:val="00B865DB"/>
    <w:rsid w:val="00B921E0"/>
    <w:rsid w:val="00BA1600"/>
    <w:rsid w:val="00BA611B"/>
    <w:rsid w:val="00BB7F97"/>
    <w:rsid w:val="00BC4D68"/>
    <w:rsid w:val="00BD6786"/>
    <w:rsid w:val="00C06496"/>
    <w:rsid w:val="00C122AE"/>
    <w:rsid w:val="00C14360"/>
    <w:rsid w:val="00C17665"/>
    <w:rsid w:val="00C17A7B"/>
    <w:rsid w:val="00C32DF8"/>
    <w:rsid w:val="00C40729"/>
    <w:rsid w:val="00C41DDB"/>
    <w:rsid w:val="00C46C5A"/>
    <w:rsid w:val="00C52ABE"/>
    <w:rsid w:val="00C656B1"/>
    <w:rsid w:val="00CA3B1F"/>
    <w:rsid w:val="00CB683A"/>
    <w:rsid w:val="00CB7C2C"/>
    <w:rsid w:val="00CC062F"/>
    <w:rsid w:val="00CC1768"/>
    <w:rsid w:val="00CC68E1"/>
    <w:rsid w:val="00CD0745"/>
    <w:rsid w:val="00CD363B"/>
    <w:rsid w:val="00CD3C90"/>
    <w:rsid w:val="00CD59B1"/>
    <w:rsid w:val="00CF098A"/>
    <w:rsid w:val="00CF3041"/>
    <w:rsid w:val="00D123C1"/>
    <w:rsid w:val="00D234FD"/>
    <w:rsid w:val="00D2600B"/>
    <w:rsid w:val="00D51B61"/>
    <w:rsid w:val="00D56571"/>
    <w:rsid w:val="00D57849"/>
    <w:rsid w:val="00D67DE0"/>
    <w:rsid w:val="00D74F66"/>
    <w:rsid w:val="00D82FBD"/>
    <w:rsid w:val="00D9338F"/>
    <w:rsid w:val="00D9582C"/>
    <w:rsid w:val="00DA043A"/>
    <w:rsid w:val="00DA116C"/>
    <w:rsid w:val="00DA22C9"/>
    <w:rsid w:val="00DB419A"/>
    <w:rsid w:val="00DC195F"/>
    <w:rsid w:val="00DC68D5"/>
    <w:rsid w:val="00DD37B4"/>
    <w:rsid w:val="00DD422D"/>
    <w:rsid w:val="00DF43CE"/>
    <w:rsid w:val="00DF4CA9"/>
    <w:rsid w:val="00E02240"/>
    <w:rsid w:val="00E11D29"/>
    <w:rsid w:val="00E1588B"/>
    <w:rsid w:val="00E256FC"/>
    <w:rsid w:val="00E3221E"/>
    <w:rsid w:val="00E37E77"/>
    <w:rsid w:val="00E5111B"/>
    <w:rsid w:val="00E67D1B"/>
    <w:rsid w:val="00E74C04"/>
    <w:rsid w:val="00E7537D"/>
    <w:rsid w:val="00E845AB"/>
    <w:rsid w:val="00E8579D"/>
    <w:rsid w:val="00E928F1"/>
    <w:rsid w:val="00EA0A58"/>
    <w:rsid w:val="00EA246B"/>
    <w:rsid w:val="00EA3454"/>
    <w:rsid w:val="00EB2786"/>
    <w:rsid w:val="00EB589C"/>
    <w:rsid w:val="00EB6791"/>
    <w:rsid w:val="00EC35A4"/>
    <w:rsid w:val="00EC4454"/>
    <w:rsid w:val="00ED1FC8"/>
    <w:rsid w:val="00ED43BB"/>
    <w:rsid w:val="00EF1E93"/>
    <w:rsid w:val="00EF3F75"/>
    <w:rsid w:val="00EF6661"/>
    <w:rsid w:val="00F25441"/>
    <w:rsid w:val="00F260BE"/>
    <w:rsid w:val="00F33643"/>
    <w:rsid w:val="00F34C66"/>
    <w:rsid w:val="00F3743B"/>
    <w:rsid w:val="00F521A4"/>
    <w:rsid w:val="00F52C18"/>
    <w:rsid w:val="00F56866"/>
    <w:rsid w:val="00F62A6F"/>
    <w:rsid w:val="00F63608"/>
    <w:rsid w:val="00F6410E"/>
    <w:rsid w:val="00F747F5"/>
    <w:rsid w:val="00F74EB6"/>
    <w:rsid w:val="00F8432C"/>
    <w:rsid w:val="00F91D83"/>
    <w:rsid w:val="00F91F93"/>
    <w:rsid w:val="00F93A64"/>
    <w:rsid w:val="00F94A2A"/>
    <w:rsid w:val="00FA112C"/>
    <w:rsid w:val="00FB56E2"/>
    <w:rsid w:val="00FC5011"/>
    <w:rsid w:val="00FD0B96"/>
    <w:rsid w:val="00FD54A5"/>
    <w:rsid w:val="00FD58BE"/>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paragraph" w:styleId="ListParagraph">
    <w:name w:val="List Paragraph"/>
    <w:basedOn w:val="Normal"/>
    <w:uiPriority w:val="34"/>
    <w:qFormat/>
    <w:rsid w:val="00C17A7B"/>
    <w:pPr>
      <w:spacing w:before="0"/>
      <w:ind w:left="720"/>
      <w:contextualSpacing/>
      <w:jc w:val="both"/>
    </w:pPr>
    <w:rPr>
      <w:rFonts w:eastAsia="Times New Roman"/>
      <w:sz w:val="22"/>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paragraph" w:styleId="ListParagraph">
    <w:name w:val="List Paragraph"/>
    <w:basedOn w:val="Normal"/>
    <w:uiPriority w:val="34"/>
    <w:qFormat/>
    <w:rsid w:val="00C17A7B"/>
    <w:pPr>
      <w:spacing w:before="0"/>
      <w:ind w:left="720"/>
      <w:contextualSpacing/>
      <w:jc w:val="both"/>
    </w:pPr>
    <w:rPr>
      <w:rFonts w:eastAsia="Times New Roman"/>
      <w:sz w:val="22"/>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800740">
      <w:bodyDiv w:val="1"/>
      <w:marLeft w:val="0"/>
      <w:marRight w:val="0"/>
      <w:marTop w:val="0"/>
      <w:marBottom w:val="0"/>
      <w:divBdr>
        <w:top w:val="none" w:sz="0" w:space="0" w:color="auto"/>
        <w:left w:val="none" w:sz="0" w:space="0" w:color="auto"/>
        <w:bottom w:val="none" w:sz="0" w:space="0" w:color="auto"/>
        <w:right w:val="none" w:sz="0" w:space="0" w:color="auto"/>
      </w:divBdr>
    </w:div>
    <w:div w:id="1219051625">
      <w:bodyDiv w:val="1"/>
      <w:marLeft w:val="0"/>
      <w:marRight w:val="0"/>
      <w:marTop w:val="0"/>
      <w:marBottom w:val="0"/>
      <w:divBdr>
        <w:top w:val="none" w:sz="0" w:space="0" w:color="auto"/>
        <w:left w:val="none" w:sz="0" w:space="0" w:color="auto"/>
        <w:bottom w:val="none" w:sz="0" w:space="0" w:color="auto"/>
        <w:right w:val="none" w:sz="0" w:space="0" w:color="auto"/>
      </w:divBdr>
    </w:div>
    <w:div w:id="1297295733">
      <w:bodyDiv w:val="1"/>
      <w:marLeft w:val="0"/>
      <w:marRight w:val="0"/>
      <w:marTop w:val="0"/>
      <w:marBottom w:val="0"/>
      <w:divBdr>
        <w:top w:val="none" w:sz="0" w:space="0" w:color="auto"/>
        <w:left w:val="none" w:sz="0" w:space="0" w:color="auto"/>
        <w:bottom w:val="none" w:sz="0" w:space="0" w:color="auto"/>
        <w:right w:val="none" w:sz="0" w:space="0" w:color="auto"/>
      </w:divBdr>
    </w:div>
    <w:div w:id="1298342056">
      <w:bodyDiv w:val="1"/>
      <w:marLeft w:val="0"/>
      <w:marRight w:val="0"/>
      <w:marTop w:val="0"/>
      <w:marBottom w:val="0"/>
      <w:divBdr>
        <w:top w:val="none" w:sz="0" w:space="0" w:color="auto"/>
        <w:left w:val="none" w:sz="0" w:space="0" w:color="auto"/>
        <w:bottom w:val="none" w:sz="0" w:space="0" w:color="auto"/>
        <w:right w:val="none" w:sz="0" w:space="0" w:color="auto"/>
      </w:divBdr>
    </w:div>
    <w:div w:id="1851486948">
      <w:bodyDiv w:val="1"/>
      <w:marLeft w:val="0"/>
      <w:marRight w:val="0"/>
      <w:marTop w:val="0"/>
      <w:marBottom w:val="0"/>
      <w:divBdr>
        <w:top w:val="none" w:sz="0" w:space="0" w:color="auto"/>
        <w:left w:val="none" w:sz="0" w:space="0" w:color="auto"/>
        <w:bottom w:val="none" w:sz="0" w:space="0" w:color="auto"/>
        <w:right w:val="none" w:sz="0" w:space="0" w:color="auto"/>
      </w:divBdr>
    </w:div>
    <w:div w:id="214539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4101A-A846-4D80-A51A-57422B074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1458</Words>
  <Characters>8165</Characters>
  <Application>Microsoft Office Word</Application>
  <DocSecurity>0</DocSecurity>
  <Lines>816</Lines>
  <Paragraphs>566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CHANGE REQUEST</vt:lpstr>
      <vt:lpstr>CHANGE REQUEST</vt:lpstr>
    </vt:vector>
  </TitlesOfParts>
  <Company>S.W.I.F.T. sc</Company>
  <LinksUpToDate>false</LinksUpToDate>
  <CharactersWithSpaces>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creator>jeloy;asteeno</dc:creator>
  <cp:lastModifiedBy>STEENO Aurelie</cp:lastModifiedBy>
  <cp:revision>3</cp:revision>
  <cp:lastPrinted>2016-05-31T12:25:00Z</cp:lastPrinted>
  <dcterms:created xsi:type="dcterms:W3CDTF">2016-11-04T18:22:00Z</dcterms:created>
  <dcterms:modified xsi:type="dcterms:W3CDTF">2016-11-04T18:23:00Z</dcterms:modified>
</cp:coreProperties>
</file>