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sidR="00EB44FB">
        <w:rPr>
          <w:szCs w:val="24"/>
          <w:lang w:val="en-GB"/>
        </w:rPr>
        <w:t>:</w:t>
      </w:r>
    </w:p>
    <w:p w:rsidR="00EB44FB" w:rsidRDefault="00EB44FB" w:rsidP="008438AF">
      <w:pPr>
        <w:rPr>
          <w:szCs w:val="24"/>
          <w:lang w:val="en-GB"/>
        </w:rPr>
      </w:pPr>
      <w:r>
        <w:rPr>
          <w:szCs w:val="24"/>
          <w:lang w:val="en-GB"/>
        </w:rPr>
        <w:t>GUF, French national Members and Users Group</w:t>
      </w:r>
    </w:p>
    <w:p w:rsidR="008438AF" w:rsidRPr="009B0D76" w:rsidRDefault="000408BA" w:rsidP="008438AF">
      <w:pPr>
        <w:rPr>
          <w:i/>
          <w:szCs w:val="24"/>
          <w:lang w:val="fr-FR"/>
        </w:rPr>
      </w:pPr>
      <w:r w:rsidRPr="009B0D76">
        <w:rPr>
          <w:i/>
          <w:szCs w:val="24"/>
          <w:lang w:val="fr-FR"/>
        </w:rPr>
        <w:t xml:space="preserve">A.2 </w:t>
      </w:r>
      <w:r w:rsidR="00CC68E1" w:rsidRPr="009B0D76">
        <w:rPr>
          <w:i/>
          <w:szCs w:val="24"/>
          <w:lang w:val="fr-FR"/>
        </w:rPr>
        <w:t>C</w:t>
      </w:r>
      <w:r w:rsidRPr="009B0D76">
        <w:rPr>
          <w:i/>
          <w:szCs w:val="24"/>
          <w:lang w:val="fr-FR"/>
        </w:rPr>
        <w:t xml:space="preserve">ontact </w:t>
      </w:r>
      <w:proofErr w:type="spellStart"/>
      <w:r w:rsidRPr="009B0D76">
        <w:rPr>
          <w:i/>
          <w:szCs w:val="24"/>
          <w:lang w:val="fr-FR"/>
        </w:rPr>
        <w:t>person</w:t>
      </w:r>
      <w:proofErr w:type="spellEnd"/>
      <w:r w:rsidRPr="009B0D76">
        <w:rPr>
          <w:i/>
          <w:szCs w:val="24"/>
          <w:lang w:val="fr-FR"/>
        </w:rPr>
        <w:t>:</w:t>
      </w:r>
    </w:p>
    <w:p w:rsidR="00EB44FB" w:rsidRPr="009B0D76" w:rsidRDefault="00EB44FB" w:rsidP="008438AF">
      <w:pPr>
        <w:rPr>
          <w:szCs w:val="24"/>
          <w:lang w:val="fr-FR"/>
        </w:rPr>
      </w:pPr>
      <w:r w:rsidRPr="009B0D76">
        <w:rPr>
          <w:szCs w:val="24"/>
          <w:lang w:val="fr-FR"/>
        </w:rPr>
        <w:t>Sylvain DAUGE</w:t>
      </w:r>
    </w:p>
    <w:p w:rsidR="00EB44FB" w:rsidRPr="009B0D76" w:rsidRDefault="00367A70" w:rsidP="008438AF">
      <w:pPr>
        <w:rPr>
          <w:szCs w:val="24"/>
          <w:lang w:val="fr-FR"/>
        </w:rPr>
      </w:pPr>
      <w:hyperlink r:id="rId9" w:history="1">
        <w:r w:rsidR="00EB44FB" w:rsidRPr="009B0D76">
          <w:rPr>
            <w:rStyle w:val="Hyperlink"/>
            <w:szCs w:val="24"/>
            <w:lang w:val="fr-FR"/>
          </w:rPr>
          <w:t>Sylvain.dauge@socgen.com</w:t>
        </w:r>
      </w:hyperlink>
    </w:p>
    <w:p w:rsidR="00EB44FB" w:rsidRPr="006B4519" w:rsidRDefault="00EB44FB" w:rsidP="008438AF">
      <w:pPr>
        <w:rPr>
          <w:szCs w:val="24"/>
          <w:lang w:val="fr-BE"/>
        </w:rPr>
      </w:pPr>
      <w:r w:rsidRPr="006B4519">
        <w:rPr>
          <w:szCs w:val="24"/>
          <w:lang w:val="fr-BE"/>
        </w:rPr>
        <w:t>+33 1 58 98 94 16</w:t>
      </w:r>
    </w:p>
    <w:p w:rsidR="00854FA6" w:rsidRDefault="00854FA6" w:rsidP="00854FA6">
      <w:pPr>
        <w:numPr>
          <w:ilvl w:val="0"/>
          <w:numId w:val="6"/>
        </w:numPr>
        <w:rPr>
          <w:b/>
          <w:lang w:val="en-GB"/>
        </w:rPr>
      </w:pPr>
      <w:r>
        <w:rPr>
          <w:b/>
          <w:lang w:val="en-GB"/>
        </w:rPr>
        <w:t xml:space="preserve">Related </w:t>
      </w:r>
      <w:r w:rsidR="007F60C5">
        <w:rPr>
          <w:b/>
          <w:lang w:val="en-GB"/>
        </w:rPr>
        <w:t xml:space="preserve">External Code </w:t>
      </w:r>
      <w:r w:rsidR="005C420B">
        <w:rPr>
          <w:b/>
          <w:lang w:val="en-GB"/>
        </w:rPr>
        <w:t>Set</w:t>
      </w:r>
      <w:r w:rsidRPr="00451986">
        <w:rPr>
          <w:b/>
          <w:lang w:val="en-GB"/>
        </w:rPr>
        <w:t>:</w:t>
      </w:r>
    </w:p>
    <w:p w:rsidR="00854FA6" w:rsidRPr="00EB44FB" w:rsidRDefault="00EB44FB" w:rsidP="00367A70">
      <w:pPr>
        <w:rPr>
          <w:lang w:val="en-GB"/>
        </w:rPr>
      </w:pPr>
      <w:r w:rsidRPr="00EB44FB">
        <w:rPr>
          <w:lang w:val="en-GB"/>
        </w:rPr>
        <w:t>Bank Transaction Codes</w:t>
      </w:r>
    </w:p>
    <w:p w:rsidR="00854FA6" w:rsidRDefault="006D4A37" w:rsidP="00854FA6">
      <w:pPr>
        <w:numPr>
          <w:ilvl w:val="0"/>
          <w:numId w:val="6"/>
        </w:numPr>
        <w:rPr>
          <w:lang w:val="en-GB"/>
        </w:rPr>
      </w:pPr>
      <w:r>
        <w:rPr>
          <w:b/>
          <w:lang w:val="en-GB"/>
        </w:rPr>
        <w:t>Description of the change request:</w:t>
      </w:r>
    </w:p>
    <w:p w:rsidR="00EB44FB" w:rsidRDefault="007675CE" w:rsidP="00AA5E76">
      <w:pPr>
        <w:rPr>
          <w:lang w:val="en-GB"/>
        </w:rPr>
      </w:pPr>
      <w:r>
        <w:rPr>
          <w:lang w:val="en-GB"/>
        </w:rPr>
        <w:t xml:space="preserve">Proposed Bank transaction code </w:t>
      </w:r>
      <w:r w:rsidR="00EB44FB">
        <w:rPr>
          <w:lang w:val="en-GB"/>
        </w:rPr>
        <w:t xml:space="preserve">to be </w:t>
      </w:r>
      <w:r w:rsidR="009B6D52">
        <w:rPr>
          <w:lang w:val="en-GB"/>
        </w:rPr>
        <w:t>added:</w:t>
      </w:r>
    </w:p>
    <w:p w:rsidR="007675CE" w:rsidRDefault="007675CE" w:rsidP="00AA5E76">
      <w:pPr>
        <w:rPr>
          <w:lang w:val="en-GB"/>
        </w:rPr>
      </w:pPr>
      <w:r>
        <w:rPr>
          <w:lang w:val="en-GB"/>
        </w:rPr>
        <w:t>I</w:t>
      </w:r>
      <w:r w:rsidR="00EB44FB">
        <w:rPr>
          <w:lang w:val="en-GB"/>
        </w:rPr>
        <w:t>n the domain Payment (PMNT),</w:t>
      </w:r>
    </w:p>
    <w:p w:rsidR="00EB44FB" w:rsidRDefault="007675CE" w:rsidP="00AA5E76">
      <w:pPr>
        <w:rPr>
          <w:lang w:val="en-GB"/>
        </w:rPr>
      </w:pPr>
      <w:proofErr w:type="gramStart"/>
      <w:r>
        <w:rPr>
          <w:lang w:val="en-GB"/>
        </w:rPr>
        <w:t>in</w:t>
      </w:r>
      <w:proofErr w:type="gramEnd"/>
      <w:r>
        <w:rPr>
          <w:lang w:val="en-GB"/>
        </w:rPr>
        <w:t xml:space="preserve"> the f</w:t>
      </w:r>
      <w:r w:rsidR="00EB44FB">
        <w:rPr>
          <w:lang w:val="en-GB"/>
        </w:rPr>
        <w:t xml:space="preserve">amily </w:t>
      </w:r>
      <w:proofErr w:type="spellStart"/>
      <w:r w:rsidR="00EB44FB">
        <w:rPr>
          <w:lang w:val="en-GB"/>
        </w:rPr>
        <w:t>Miscelleanous</w:t>
      </w:r>
      <w:proofErr w:type="spellEnd"/>
      <w:r w:rsidR="00EB44FB">
        <w:rPr>
          <w:lang w:val="en-GB"/>
        </w:rPr>
        <w:t xml:space="preserve"> Debit Operations (MDOP),</w:t>
      </w:r>
    </w:p>
    <w:p w:rsidR="007675CE" w:rsidRDefault="007675CE" w:rsidP="00AA5E76">
      <w:pPr>
        <w:rPr>
          <w:lang w:val="en-GB"/>
        </w:rPr>
      </w:pPr>
      <w:proofErr w:type="gramStart"/>
      <w:r>
        <w:rPr>
          <w:lang w:val="en-GB"/>
        </w:rPr>
        <w:t>the</w:t>
      </w:r>
      <w:proofErr w:type="gramEnd"/>
      <w:r>
        <w:rPr>
          <w:lang w:val="en-GB"/>
        </w:rPr>
        <w:t xml:space="preserve"> </w:t>
      </w:r>
      <w:r w:rsidR="00EB44FB">
        <w:rPr>
          <w:lang w:val="en-GB"/>
        </w:rPr>
        <w:t xml:space="preserve">proposed Sub-family code </w:t>
      </w:r>
      <w:r>
        <w:rPr>
          <w:lang w:val="en-GB"/>
        </w:rPr>
        <w:t xml:space="preserve">is </w:t>
      </w:r>
      <w:r w:rsidR="00EB44FB">
        <w:rPr>
          <w:lang w:val="en-GB"/>
        </w:rPr>
        <w:t>“</w:t>
      </w:r>
      <w:r w:rsidR="00EB44FB" w:rsidRPr="009B0D76">
        <w:rPr>
          <w:b/>
          <w:lang w:val="en-GB"/>
        </w:rPr>
        <w:t>IADD</w:t>
      </w:r>
      <w:r w:rsidR="00EB44FB">
        <w:rPr>
          <w:lang w:val="en-GB"/>
        </w:rPr>
        <w:t>”,</w:t>
      </w:r>
    </w:p>
    <w:p w:rsidR="00EB44FB" w:rsidRDefault="00EB44FB" w:rsidP="00AA5E76">
      <w:pPr>
        <w:rPr>
          <w:lang w:val="en-GB"/>
        </w:rPr>
      </w:pPr>
      <w:proofErr w:type="gramStart"/>
      <w:r>
        <w:rPr>
          <w:lang w:val="en-GB"/>
        </w:rPr>
        <w:t>with</w:t>
      </w:r>
      <w:proofErr w:type="gramEnd"/>
      <w:r>
        <w:rPr>
          <w:lang w:val="en-GB"/>
        </w:rPr>
        <w:t xml:space="preserve"> proposed name “</w:t>
      </w:r>
      <w:r w:rsidRPr="009B0D76">
        <w:rPr>
          <w:b/>
          <w:lang w:val="en-GB"/>
        </w:rPr>
        <w:t>Invoice Accepted with Differed Due Date</w:t>
      </w:r>
      <w:r>
        <w:rPr>
          <w:lang w:val="en-GB"/>
        </w:rPr>
        <w:t>”</w:t>
      </w:r>
      <w:r w:rsidR="007675CE">
        <w:rPr>
          <w:lang w:val="en-GB"/>
        </w:rPr>
        <w:t>.</w:t>
      </w:r>
    </w:p>
    <w:p w:rsidR="00EB44FB" w:rsidRPr="009B0D76" w:rsidRDefault="007675CE" w:rsidP="00AA5E76">
      <w:pPr>
        <w:rPr>
          <w:u w:val="single"/>
        </w:rPr>
      </w:pPr>
      <w:r w:rsidRPr="009B0D76">
        <w:rPr>
          <w:u w:val="single"/>
          <w:lang w:val="en-GB"/>
        </w:rPr>
        <w:t xml:space="preserve">Proposed </w:t>
      </w:r>
      <w:proofErr w:type="gramStart"/>
      <w:r w:rsidRPr="009B0D76">
        <w:rPr>
          <w:u w:val="single"/>
          <w:lang w:val="en-GB"/>
        </w:rPr>
        <w:t>d</w:t>
      </w:r>
      <w:proofErr w:type="spellStart"/>
      <w:r w:rsidR="00EB44FB" w:rsidRPr="009B0D76">
        <w:rPr>
          <w:u w:val="single"/>
        </w:rPr>
        <w:t>efinition</w:t>
      </w:r>
      <w:proofErr w:type="spellEnd"/>
      <w:r w:rsidR="00EB44FB" w:rsidRPr="009B0D76">
        <w:rPr>
          <w:u w:val="single"/>
        </w:rPr>
        <w:t xml:space="preserve"> :</w:t>
      </w:r>
      <w:proofErr w:type="gramEnd"/>
    </w:p>
    <w:p w:rsidR="00E028B6" w:rsidRDefault="00EB44FB" w:rsidP="007675CE">
      <w:pPr>
        <w:jc w:val="both"/>
        <w:rPr>
          <w:lang w:val="en-GB"/>
        </w:rPr>
      </w:pPr>
      <w:r w:rsidRPr="007675CE">
        <w:rPr>
          <w:lang w:val="en-GB"/>
        </w:rPr>
        <w:t xml:space="preserve">Service </w:t>
      </w:r>
      <w:r w:rsidR="007675CE" w:rsidRPr="007675CE">
        <w:rPr>
          <w:lang w:val="en-GB"/>
        </w:rPr>
        <w:t>allowing the debtor bank to inform directly and in advance the provider of its customer about the elements of the invoices the customer of the bank will settle on due date.</w:t>
      </w:r>
    </w:p>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7675CE" w:rsidRDefault="007675CE" w:rsidP="007675CE">
      <w:pPr>
        <w:jc w:val="both"/>
        <w:rPr>
          <w:rFonts w:eastAsia="Times New Roman"/>
          <w:szCs w:val="24"/>
        </w:rPr>
      </w:pPr>
      <w:r>
        <w:rPr>
          <w:rFonts w:eastAsia="Times New Roman"/>
          <w:szCs w:val="24"/>
        </w:rPr>
        <w:t xml:space="preserve">The service associated to the Bank Transaction Code Payment (PMNT)/ Issued Credit Transfer (ICDT) / </w:t>
      </w:r>
      <w:r w:rsidRPr="00793A30">
        <w:rPr>
          <w:rFonts w:eastAsia="Times New Roman"/>
          <w:szCs w:val="24"/>
        </w:rPr>
        <w:t>Credit Transfer with agreed Commercial Information</w:t>
      </w:r>
      <w:r>
        <w:rPr>
          <w:rFonts w:eastAsia="Times New Roman"/>
          <w:szCs w:val="24"/>
        </w:rPr>
        <w:t xml:space="preserve"> (VCOM) has ended on </w:t>
      </w:r>
      <w:r w:rsidR="009B0D76">
        <w:rPr>
          <w:rFonts w:eastAsia="Times New Roman"/>
          <w:szCs w:val="24"/>
        </w:rPr>
        <w:t>February</w:t>
      </w:r>
      <w:r>
        <w:rPr>
          <w:rFonts w:eastAsia="Times New Roman"/>
          <w:szCs w:val="24"/>
        </w:rPr>
        <w:t xml:space="preserve"> 1</w:t>
      </w:r>
      <w:r w:rsidRPr="007675CE">
        <w:rPr>
          <w:rFonts w:eastAsia="Times New Roman"/>
          <w:szCs w:val="24"/>
          <w:vertAlign w:val="superscript"/>
        </w:rPr>
        <w:t>st</w:t>
      </w:r>
      <w:r>
        <w:rPr>
          <w:rFonts w:eastAsia="Times New Roman"/>
          <w:szCs w:val="24"/>
        </w:rPr>
        <w:t>, 2014.</w:t>
      </w:r>
    </w:p>
    <w:p w:rsidR="009B0D76" w:rsidRDefault="009B0D76" w:rsidP="007675CE">
      <w:pPr>
        <w:rPr>
          <w:rFonts w:eastAsia="Times New Roman"/>
          <w:szCs w:val="24"/>
        </w:rPr>
      </w:pPr>
    </w:p>
    <w:p w:rsidR="009B0D76" w:rsidRDefault="009B0D76" w:rsidP="007675CE">
      <w:pPr>
        <w:rPr>
          <w:rFonts w:eastAsia="Times New Roman"/>
          <w:szCs w:val="24"/>
        </w:rPr>
      </w:pPr>
    </w:p>
    <w:p w:rsidR="007675CE" w:rsidRDefault="007675CE" w:rsidP="007675CE">
      <w:pPr>
        <w:rPr>
          <w:rFonts w:eastAsia="Times New Roman"/>
          <w:szCs w:val="24"/>
        </w:rPr>
      </w:pPr>
      <w:r>
        <w:rPr>
          <w:rFonts w:eastAsia="Times New Roman"/>
          <w:szCs w:val="24"/>
        </w:rPr>
        <w:t xml:space="preserve">It has been replaced by two </w:t>
      </w:r>
      <w:r w:rsidR="009B6D52">
        <w:rPr>
          <w:rFonts w:eastAsia="Times New Roman"/>
          <w:szCs w:val="24"/>
        </w:rPr>
        <w:t>services:</w:t>
      </w:r>
    </w:p>
    <w:p w:rsidR="007675CE" w:rsidRPr="00C26214" w:rsidRDefault="007675CE" w:rsidP="00C26214">
      <w:pPr>
        <w:pStyle w:val="ListParagraph"/>
        <w:numPr>
          <w:ilvl w:val="0"/>
          <w:numId w:val="17"/>
        </w:numPr>
        <w:rPr>
          <w:rFonts w:eastAsia="Times New Roman"/>
          <w:szCs w:val="24"/>
        </w:rPr>
      </w:pPr>
      <w:r w:rsidRPr="00C26214">
        <w:rPr>
          <w:rFonts w:eastAsia="Times New Roman"/>
          <w:szCs w:val="24"/>
        </w:rPr>
        <w:t>A service of invoice accepted with Differed Due Date,</w:t>
      </w:r>
    </w:p>
    <w:p w:rsidR="007675CE" w:rsidRDefault="007675CE" w:rsidP="00C26214">
      <w:pPr>
        <w:pStyle w:val="ListParagraph"/>
        <w:numPr>
          <w:ilvl w:val="0"/>
          <w:numId w:val="17"/>
        </w:numPr>
        <w:rPr>
          <w:rFonts w:eastAsia="Times New Roman"/>
          <w:szCs w:val="24"/>
        </w:rPr>
      </w:pPr>
      <w:r w:rsidRPr="00C26214">
        <w:rPr>
          <w:rFonts w:eastAsia="Times New Roman"/>
          <w:szCs w:val="24"/>
        </w:rPr>
        <w:t>A credit transfer for the settlement of the invoices.</w:t>
      </w:r>
    </w:p>
    <w:p w:rsidR="009B0D76" w:rsidRPr="009B0D76" w:rsidRDefault="00F91B37" w:rsidP="009B0D76">
      <w:pPr>
        <w:ind w:left="-851"/>
        <w:rPr>
          <w:rFonts w:eastAsia="Times New Roman"/>
          <w:szCs w:val="24"/>
        </w:rPr>
      </w:pPr>
      <w:r>
        <w:rPr>
          <w:rFonts w:eastAsia="Times New Roman"/>
          <w:szCs w:val="24"/>
        </w:rPr>
        <w:object w:dxaOrig="7319" w:dyaOrig="5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401.25pt" o:ole="">
            <v:imagedata r:id="rId10" o:title=""/>
          </v:shape>
          <o:OLEObject Type="Embed" ProgID="PowerPoint.Show.12" ShapeID="_x0000_i1025" DrawAspect="Content" ObjectID="_1498463126" r:id="rId11"/>
        </w:object>
      </w:r>
    </w:p>
    <w:p w:rsidR="007675CE" w:rsidRPr="007675CE" w:rsidRDefault="00287FBE" w:rsidP="009B0D76">
      <w:pPr>
        <w:jc w:val="both"/>
        <w:rPr>
          <w:rFonts w:eastAsia="Times New Roman"/>
          <w:szCs w:val="24"/>
        </w:rPr>
      </w:pPr>
      <w:r>
        <w:rPr>
          <w:rFonts w:eastAsia="Times New Roman"/>
          <w:szCs w:val="24"/>
        </w:rPr>
        <w:t>The proposed bank transaction code will</w:t>
      </w:r>
      <w:r w:rsidR="007675CE">
        <w:rPr>
          <w:rFonts w:eastAsia="Times New Roman"/>
          <w:szCs w:val="24"/>
        </w:rPr>
        <w:t xml:space="preserve"> allow the issuing customer </w:t>
      </w:r>
      <w:r w:rsidR="009B0D76">
        <w:rPr>
          <w:rFonts w:eastAsia="Times New Roman"/>
          <w:szCs w:val="24"/>
        </w:rPr>
        <w:t xml:space="preserve">(the buyer) </w:t>
      </w:r>
      <w:r w:rsidR="007675CE">
        <w:rPr>
          <w:rFonts w:eastAsia="Times New Roman"/>
          <w:szCs w:val="24"/>
        </w:rPr>
        <w:t xml:space="preserve">to match the </w:t>
      </w:r>
      <w:r>
        <w:rPr>
          <w:rFonts w:eastAsia="Times New Roman"/>
          <w:szCs w:val="24"/>
        </w:rPr>
        <w:t>entry and the invoices settled through the credit transfer by clearly stating the input channel by which the invoice data have been sent to the bank.</w:t>
      </w:r>
    </w:p>
    <w:p w:rsidR="00783891" w:rsidRDefault="00AA5E76" w:rsidP="00B778B4">
      <w:pPr>
        <w:numPr>
          <w:ilvl w:val="0"/>
          <w:numId w:val="6"/>
        </w:numPr>
        <w:tabs>
          <w:tab w:val="clear" w:pos="360"/>
          <w:tab w:val="num" w:pos="-426"/>
        </w:tabs>
        <w:ind w:left="0" w:firstLine="0"/>
        <w:rPr>
          <w:b/>
          <w:szCs w:val="24"/>
          <w:lang w:val="en-GB"/>
        </w:rPr>
      </w:pPr>
      <w:r>
        <w:rPr>
          <w:b/>
          <w:szCs w:val="24"/>
          <w:lang w:val="en-GB"/>
        </w:rPr>
        <w:t>Urgency of the request</w:t>
      </w:r>
      <w:r w:rsidR="00783891">
        <w:rPr>
          <w:b/>
          <w:szCs w:val="24"/>
          <w:lang w:val="en-GB"/>
        </w:rPr>
        <w:t>:</w:t>
      </w:r>
    </w:p>
    <w:p w:rsidR="00F34C66" w:rsidRDefault="00287FBE" w:rsidP="00F34C66">
      <w:pPr>
        <w:rPr>
          <w:szCs w:val="24"/>
          <w:lang w:val="en-GB"/>
        </w:rPr>
      </w:pPr>
      <w:r>
        <w:rPr>
          <w:szCs w:val="24"/>
          <w:lang w:val="en-GB"/>
        </w:rPr>
        <w:t>Ta</w:t>
      </w:r>
      <w:r w:rsidR="00C26214">
        <w:rPr>
          <w:szCs w:val="24"/>
          <w:lang w:val="en-GB"/>
        </w:rPr>
        <w:t>r</w:t>
      </w:r>
      <w:r>
        <w:rPr>
          <w:szCs w:val="24"/>
          <w:lang w:val="en-GB"/>
        </w:rPr>
        <w:t xml:space="preserve">geted period for </w:t>
      </w:r>
      <w:r w:rsidR="009B6D52">
        <w:rPr>
          <w:szCs w:val="24"/>
          <w:lang w:val="en-GB"/>
        </w:rPr>
        <w:t>publication:</w:t>
      </w:r>
      <w:r>
        <w:rPr>
          <w:szCs w:val="24"/>
          <w:lang w:val="en-GB"/>
        </w:rPr>
        <w:t xml:space="preserve"> next normal publication date available</w:t>
      </w:r>
      <w:r w:rsidR="00DD422D">
        <w:rPr>
          <w:szCs w:val="24"/>
          <w:lang w:val="en-GB"/>
        </w:rPr>
        <w:t>.</w:t>
      </w:r>
    </w:p>
    <w:p w:rsidR="00783891" w:rsidRDefault="008265E8" w:rsidP="00451986">
      <w:pPr>
        <w:numPr>
          <w:ilvl w:val="0"/>
          <w:numId w:val="6"/>
        </w:numPr>
        <w:rPr>
          <w:szCs w:val="24"/>
          <w:lang w:val="en-GB"/>
        </w:rPr>
      </w:pPr>
      <w:r>
        <w:rPr>
          <w:b/>
          <w:szCs w:val="24"/>
          <w:lang w:val="en-GB"/>
        </w:rPr>
        <w:t>Business examples</w:t>
      </w:r>
      <w:r w:rsidR="00783891">
        <w:rPr>
          <w:b/>
          <w:szCs w:val="24"/>
          <w:lang w:val="en-GB"/>
        </w:rPr>
        <w:t>:</w:t>
      </w:r>
    </w:p>
    <w:p w:rsidR="009B6D52" w:rsidRDefault="00EA1E83" w:rsidP="00783891">
      <w:pPr>
        <w:rPr>
          <w:lang w:val="en-GB"/>
        </w:rPr>
      </w:pPr>
      <w:r>
        <w:rPr>
          <w:lang w:val="en-GB"/>
        </w:rPr>
        <w:t>Refer to ‘Purpose of Change’.</w:t>
      </w:r>
    </w:p>
    <w:p w:rsidR="009B6D52" w:rsidRDefault="009B6D52">
      <w:pPr>
        <w:spacing w:before="0"/>
        <w:rPr>
          <w:lang w:val="en-GB"/>
        </w:rPr>
      </w:pPr>
      <w:r>
        <w:rPr>
          <w:lang w:val="en-GB"/>
        </w:rPr>
        <w:br w:type="page"/>
      </w:r>
    </w:p>
    <w:p w:rsidR="00C41DDB" w:rsidRPr="00E8579D" w:rsidRDefault="00C41DDB" w:rsidP="00C41DDB">
      <w:pPr>
        <w:numPr>
          <w:ilvl w:val="0"/>
          <w:numId w:val="6"/>
        </w:numPr>
        <w:rPr>
          <w:b/>
          <w:lang w:val="en-GB"/>
        </w:rPr>
      </w:pPr>
      <w:r>
        <w:rPr>
          <w:b/>
          <w:lang w:val="en-GB"/>
        </w:rPr>
        <w:lastRenderedPageBreak/>
        <w:t>SEG recommendation:</w:t>
      </w:r>
    </w:p>
    <w:p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rsidTr="00916A80">
        <w:trPr>
          <w:gridAfter w:val="3"/>
          <w:wAfter w:w="5623" w:type="dxa"/>
        </w:trPr>
        <w:tc>
          <w:tcPr>
            <w:tcW w:w="1242" w:type="dxa"/>
            <w:gridSpan w:val="2"/>
          </w:tcPr>
          <w:p w:rsidR="00706604" w:rsidRPr="00E3221E" w:rsidRDefault="00812A48" w:rsidP="00812A48">
            <w:pPr>
              <w:rPr>
                <w:b/>
                <w:szCs w:val="24"/>
                <w:lang w:val="en-GB"/>
              </w:rPr>
            </w:pPr>
            <w:r>
              <w:rPr>
                <w:b/>
                <w:szCs w:val="24"/>
                <w:lang w:val="en-GB"/>
              </w:rPr>
              <w:t>Accept</w:t>
            </w:r>
          </w:p>
        </w:tc>
        <w:tc>
          <w:tcPr>
            <w:tcW w:w="851" w:type="dxa"/>
          </w:tcPr>
          <w:p w:rsidR="00706604" w:rsidRPr="006B4519" w:rsidRDefault="006B4519" w:rsidP="006B4519">
            <w:pPr>
              <w:jc w:val="center"/>
              <w:rPr>
                <w:color w:val="FF0000"/>
                <w:szCs w:val="24"/>
                <w:lang w:val="en-GB"/>
              </w:rPr>
            </w:pPr>
            <w:r w:rsidRPr="006B4519">
              <w:rPr>
                <w:color w:val="FF0000"/>
                <w:szCs w:val="24"/>
                <w:lang w:val="en-GB"/>
              </w:rPr>
              <w:t>X</w:t>
            </w:r>
          </w:p>
        </w:tc>
        <w:tc>
          <w:tcPr>
            <w:tcW w:w="1417" w:type="dxa"/>
            <w:tcBorders>
              <w:top w:val="single" w:sz="4" w:space="0" w:color="auto"/>
              <w:right w:val="single" w:sz="4" w:space="0" w:color="auto"/>
            </w:tcBorders>
          </w:tcPr>
          <w:p w:rsidR="00706604" w:rsidRPr="00E3221E" w:rsidRDefault="00916A80" w:rsidP="00C41DDB">
            <w:pPr>
              <w:rPr>
                <w:b/>
                <w:szCs w:val="24"/>
                <w:lang w:val="en-GB"/>
              </w:rPr>
            </w:pPr>
            <w:r w:rsidRPr="00E3221E">
              <w:rPr>
                <w:b/>
                <w:szCs w:val="24"/>
                <w:lang w:val="en-GB"/>
              </w:rPr>
              <w:t>Timing</w:t>
            </w:r>
          </w:p>
        </w:tc>
        <w:bookmarkStart w:id="0" w:name="_GoBack"/>
        <w:bookmarkEnd w:id="0"/>
      </w:tr>
      <w:tr w:rsidR="00916A80" w:rsidRPr="006D7FF8" w:rsidTr="00812A48">
        <w:trPr>
          <w:gridBefore w:val="1"/>
          <w:gridAfter w:val="1"/>
          <w:wBefore w:w="1059" w:type="dxa"/>
          <w:wAfter w:w="236" w:type="dxa"/>
          <w:trHeight w:val="501"/>
        </w:trPr>
        <w:tc>
          <w:tcPr>
            <w:tcW w:w="1034" w:type="dxa"/>
            <w:gridSpan w:val="2"/>
            <w:tcBorders>
              <w:left w:val="nil"/>
              <w:bottom w:val="nil"/>
            </w:tcBorders>
          </w:tcPr>
          <w:p w:rsidR="00916A80" w:rsidRDefault="00916A80" w:rsidP="00C41DDB">
            <w:pPr>
              <w:rPr>
                <w:szCs w:val="24"/>
                <w:lang w:val="en-GB"/>
              </w:rPr>
            </w:pPr>
            <w:bookmarkStart w:id="1" w:name="_Hlk222812886"/>
          </w:p>
        </w:tc>
        <w:tc>
          <w:tcPr>
            <w:tcW w:w="3544" w:type="dxa"/>
            <w:gridSpan w:val="2"/>
          </w:tcPr>
          <w:p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rsidR="00916A80" w:rsidRPr="006D7FF8" w:rsidRDefault="00916A80" w:rsidP="007118C4">
            <w:pPr>
              <w:spacing w:before="0"/>
              <w:rPr>
                <w:szCs w:val="24"/>
                <w:lang w:val="en-GB"/>
              </w:rPr>
            </w:pPr>
          </w:p>
        </w:tc>
        <w:tc>
          <w:tcPr>
            <w:tcW w:w="3260" w:type="dxa"/>
            <w:tcBorders>
              <w:bottom w:val="single" w:sz="4" w:space="0" w:color="auto"/>
            </w:tcBorders>
          </w:tcPr>
          <w:p w:rsidR="00916A80" w:rsidRPr="006B4519" w:rsidRDefault="006B4519" w:rsidP="00E3221E">
            <w:pPr>
              <w:spacing w:before="0"/>
              <w:jc w:val="both"/>
              <w:rPr>
                <w:color w:val="FF0000"/>
                <w:szCs w:val="24"/>
                <w:lang w:val="en-GB"/>
              </w:rPr>
            </w:pPr>
            <w:r w:rsidRPr="006B4519">
              <w:rPr>
                <w:color w:val="FF0000"/>
                <w:szCs w:val="24"/>
                <w:lang w:val="en-GB"/>
              </w:rPr>
              <w:t>X</w:t>
            </w:r>
          </w:p>
        </w:tc>
      </w:tr>
      <w:tr w:rsidR="00B307A7" w:rsidRPr="006D7FF8" w:rsidTr="00F3743B">
        <w:trPr>
          <w:gridBefore w:val="1"/>
          <w:wBefore w:w="1059" w:type="dxa"/>
          <w:trHeight w:val="511"/>
        </w:trPr>
        <w:tc>
          <w:tcPr>
            <w:tcW w:w="1034" w:type="dxa"/>
            <w:gridSpan w:val="2"/>
            <w:tcBorders>
              <w:top w:val="nil"/>
              <w:left w:val="nil"/>
              <w:bottom w:val="nil"/>
            </w:tcBorders>
          </w:tcPr>
          <w:p w:rsidR="00B307A7" w:rsidRDefault="00B307A7" w:rsidP="00E3221E">
            <w:pPr>
              <w:spacing w:before="0"/>
              <w:rPr>
                <w:szCs w:val="24"/>
                <w:lang w:val="en-GB"/>
              </w:rPr>
            </w:pPr>
          </w:p>
        </w:tc>
        <w:tc>
          <w:tcPr>
            <w:tcW w:w="6804" w:type="dxa"/>
            <w:gridSpan w:val="3"/>
          </w:tcPr>
          <w:p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rsidR="00B307A7" w:rsidRDefault="00B307A7" w:rsidP="00706604">
            <w:pPr>
              <w:ind w:left="360"/>
              <w:jc w:val="both"/>
              <w:rPr>
                <w:szCs w:val="24"/>
                <w:lang w:val="en-GB"/>
              </w:rPr>
            </w:pPr>
          </w:p>
          <w:p w:rsidR="00B307A7" w:rsidRDefault="00B307A7" w:rsidP="00706604">
            <w:pPr>
              <w:ind w:left="360"/>
              <w:jc w:val="both"/>
              <w:rPr>
                <w:szCs w:val="24"/>
                <w:lang w:val="en-GB"/>
              </w:rPr>
            </w:pPr>
          </w:p>
        </w:tc>
      </w:tr>
    </w:tbl>
    <w:bookmarkEnd w:id="1"/>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rsidTr="00F8432C">
        <w:tc>
          <w:tcPr>
            <w:tcW w:w="1242" w:type="dxa"/>
          </w:tcPr>
          <w:p w:rsidR="00C41DDB" w:rsidRPr="00E3221E" w:rsidRDefault="00C41DDB" w:rsidP="00C41DDB">
            <w:pPr>
              <w:rPr>
                <w:b/>
                <w:szCs w:val="24"/>
                <w:lang w:val="en-GB"/>
              </w:rPr>
            </w:pPr>
            <w:r w:rsidRPr="00E3221E">
              <w:rPr>
                <w:b/>
                <w:szCs w:val="24"/>
                <w:lang w:val="en-GB"/>
              </w:rPr>
              <w:t>Reject</w:t>
            </w:r>
          </w:p>
        </w:tc>
        <w:tc>
          <w:tcPr>
            <w:tcW w:w="851" w:type="dxa"/>
          </w:tcPr>
          <w:p w:rsidR="00C41DDB" w:rsidRPr="006D7FF8" w:rsidRDefault="00C41DDB" w:rsidP="00C41DDB">
            <w:pPr>
              <w:rPr>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0B" w:rsidRDefault="00D2640B">
      <w:r>
        <w:separator/>
      </w:r>
    </w:p>
  </w:endnote>
  <w:endnote w:type="continuationSeparator" w:id="0">
    <w:p w:rsidR="00D2640B" w:rsidRDefault="00D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5D" w:rsidRDefault="00707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74" w:rsidRDefault="00367A70">
    <w:pPr>
      <w:pStyle w:val="Footer"/>
      <w:rPr>
        <w:rStyle w:val="PageNumber"/>
      </w:rPr>
    </w:pPr>
    <w:fldSimple w:instr=" FILENAME   \* MERGEFORMAT ">
      <w:r w:rsidR="00005371">
        <w:rPr>
          <w:noProof/>
        </w:rPr>
        <w:t>CR0522_GUF_BTC_v2.docx</w:t>
      </w:r>
    </w:fldSimple>
    <w:r w:rsidR="005C420B">
      <w:t xml:space="preserve">   </w:t>
    </w:r>
    <w:r w:rsidR="00CC5C74">
      <w:t xml:space="preserve">Produced by </w:t>
    </w:r>
    <w:proofErr w:type="spellStart"/>
    <w:r w:rsidR="009B6D52">
      <w:t>Societe</w:t>
    </w:r>
    <w:proofErr w:type="spellEnd"/>
    <w:r w:rsidR="009B6D52">
      <w:t xml:space="preserve"> </w:t>
    </w:r>
    <w:proofErr w:type="spellStart"/>
    <w:r w:rsidR="009B6D52">
      <w:t>Generale</w:t>
    </w:r>
    <w:proofErr w:type="spellEnd"/>
    <w:r w:rsidR="009B6D52">
      <w:t xml:space="preserve"> on 1 June 2015</w:t>
    </w:r>
    <w:r w:rsidR="00CC5C74">
      <w:tab/>
      <w:t xml:space="preserve">Page </w:t>
    </w:r>
    <w:r w:rsidR="00A407D5">
      <w:rPr>
        <w:rStyle w:val="PageNumber"/>
      </w:rPr>
      <w:fldChar w:fldCharType="begin"/>
    </w:r>
    <w:r w:rsidR="00CC5C74">
      <w:rPr>
        <w:rStyle w:val="PageNumber"/>
      </w:rPr>
      <w:instrText xml:space="preserve"> PAGE </w:instrText>
    </w:r>
    <w:r w:rsidR="00A407D5">
      <w:rPr>
        <w:rStyle w:val="PageNumber"/>
      </w:rPr>
      <w:fldChar w:fldCharType="separate"/>
    </w:r>
    <w:r w:rsidR="00005371">
      <w:rPr>
        <w:rStyle w:val="PageNumber"/>
        <w:noProof/>
      </w:rPr>
      <w:t>3</w:t>
    </w:r>
    <w:r w:rsidR="00A407D5">
      <w:rPr>
        <w:rStyle w:val="PageNumber"/>
      </w:rPr>
      <w:fldChar w:fldCharType="end"/>
    </w:r>
  </w:p>
  <w:p w:rsidR="00CC5C74" w:rsidRDefault="00CC5C74">
    <w:pPr>
      <w:pStyle w:val="Footer"/>
      <w:rPr>
        <w:rStyle w:val="PageNumber"/>
      </w:rPr>
    </w:pPr>
  </w:p>
  <w:p w:rsidR="00CC5C74" w:rsidRDefault="00CC5C74"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5D" w:rsidRDefault="00707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0B" w:rsidRDefault="00D2640B">
      <w:r>
        <w:separator/>
      </w:r>
    </w:p>
  </w:footnote>
  <w:footnote w:type="continuationSeparator" w:id="0">
    <w:p w:rsidR="00D2640B" w:rsidRDefault="00D2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5D" w:rsidRDefault="00707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5D" w:rsidRPr="0070755D" w:rsidRDefault="0070755D">
    <w:pPr>
      <w:pStyle w:val="Header"/>
      <w:rPr>
        <w:lang w:val="fr-BE"/>
      </w:rPr>
    </w:pPr>
    <w:r>
      <w:rPr>
        <w:lang w:val="fr-BE"/>
      </w:rPr>
      <w:t>RA ID : CR0522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5D" w:rsidRDefault="00707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5507BD"/>
    <w:multiLevelType w:val="hybridMultilevel"/>
    <w:tmpl w:val="F620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1"/>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7409">
      <o:colormenu v:ext="edit" extrusioncolor="none"/>
    </o:shapedefaults>
  </w:hdrShapeDefaults>
  <w:footnotePr>
    <w:footnote w:id="-1"/>
    <w:footnote w:id="0"/>
  </w:footnotePr>
  <w:endnotePr>
    <w:endnote w:id="-1"/>
    <w:endnote w:id="0"/>
  </w:endnotePr>
  <w:compat>
    <w:compatSetting w:name="compatibilityMode" w:uri="http://schemas.microsoft.com/office/word" w:val="12"/>
  </w:compat>
  <w:rsids>
    <w:rsidRoot w:val="00865C2F"/>
    <w:rsid w:val="000026F5"/>
    <w:rsid w:val="00005371"/>
    <w:rsid w:val="000127ED"/>
    <w:rsid w:val="00021C86"/>
    <w:rsid w:val="0003395A"/>
    <w:rsid w:val="000408BA"/>
    <w:rsid w:val="00041661"/>
    <w:rsid w:val="000558EF"/>
    <w:rsid w:val="0006293F"/>
    <w:rsid w:val="00070308"/>
    <w:rsid w:val="00080D3A"/>
    <w:rsid w:val="000823AA"/>
    <w:rsid w:val="00082743"/>
    <w:rsid w:val="000837C7"/>
    <w:rsid w:val="00083C96"/>
    <w:rsid w:val="0008570C"/>
    <w:rsid w:val="000965D9"/>
    <w:rsid w:val="000A172E"/>
    <w:rsid w:val="000A20E4"/>
    <w:rsid w:val="000A3B4B"/>
    <w:rsid w:val="000B65C7"/>
    <w:rsid w:val="000C015D"/>
    <w:rsid w:val="000E2471"/>
    <w:rsid w:val="000E7941"/>
    <w:rsid w:val="000F3C8B"/>
    <w:rsid w:val="000F43E3"/>
    <w:rsid w:val="00101212"/>
    <w:rsid w:val="00101D5F"/>
    <w:rsid w:val="00105754"/>
    <w:rsid w:val="00114F60"/>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87FBE"/>
    <w:rsid w:val="002904C8"/>
    <w:rsid w:val="00296729"/>
    <w:rsid w:val="002A04E0"/>
    <w:rsid w:val="002B0567"/>
    <w:rsid w:val="002D549A"/>
    <w:rsid w:val="002E014D"/>
    <w:rsid w:val="002E27A9"/>
    <w:rsid w:val="003006F2"/>
    <w:rsid w:val="00303E94"/>
    <w:rsid w:val="00304151"/>
    <w:rsid w:val="00316F04"/>
    <w:rsid w:val="00320A89"/>
    <w:rsid w:val="00324C6F"/>
    <w:rsid w:val="00332E8F"/>
    <w:rsid w:val="00336209"/>
    <w:rsid w:val="00336ED6"/>
    <w:rsid w:val="00360300"/>
    <w:rsid w:val="00367A70"/>
    <w:rsid w:val="00375700"/>
    <w:rsid w:val="00380928"/>
    <w:rsid w:val="00386B78"/>
    <w:rsid w:val="003A3D7D"/>
    <w:rsid w:val="003B261A"/>
    <w:rsid w:val="003C0213"/>
    <w:rsid w:val="003C0267"/>
    <w:rsid w:val="003C3840"/>
    <w:rsid w:val="003D56E3"/>
    <w:rsid w:val="003E59BF"/>
    <w:rsid w:val="003E67E5"/>
    <w:rsid w:val="003F1C24"/>
    <w:rsid w:val="003F547E"/>
    <w:rsid w:val="003F57CE"/>
    <w:rsid w:val="003F6B05"/>
    <w:rsid w:val="00401998"/>
    <w:rsid w:val="0040275F"/>
    <w:rsid w:val="00427966"/>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31A43"/>
    <w:rsid w:val="00640ED4"/>
    <w:rsid w:val="006643DC"/>
    <w:rsid w:val="006935EA"/>
    <w:rsid w:val="006A02BC"/>
    <w:rsid w:val="006A7B96"/>
    <w:rsid w:val="006B20DC"/>
    <w:rsid w:val="006B4519"/>
    <w:rsid w:val="006D4A37"/>
    <w:rsid w:val="00706604"/>
    <w:rsid w:val="0070755D"/>
    <w:rsid w:val="007118C4"/>
    <w:rsid w:val="00723DE0"/>
    <w:rsid w:val="0073061B"/>
    <w:rsid w:val="00732595"/>
    <w:rsid w:val="0074349F"/>
    <w:rsid w:val="00746F46"/>
    <w:rsid w:val="0075466C"/>
    <w:rsid w:val="007675CE"/>
    <w:rsid w:val="00774921"/>
    <w:rsid w:val="00783891"/>
    <w:rsid w:val="00785283"/>
    <w:rsid w:val="00792693"/>
    <w:rsid w:val="007B3927"/>
    <w:rsid w:val="007C66BF"/>
    <w:rsid w:val="007C7AB4"/>
    <w:rsid w:val="007C7CD2"/>
    <w:rsid w:val="007D69B5"/>
    <w:rsid w:val="007D6A9F"/>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6A6"/>
    <w:rsid w:val="00865C2F"/>
    <w:rsid w:val="0086676E"/>
    <w:rsid w:val="00875210"/>
    <w:rsid w:val="008869D6"/>
    <w:rsid w:val="008A7F65"/>
    <w:rsid w:val="008B790F"/>
    <w:rsid w:val="008F5C90"/>
    <w:rsid w:val="00906C6A"/>
    <w:rsid w:val="00914273"/>
    <w:rsid w:val="00916A80"/>
    <w:rsid w:val="009279BF"/>
    <w:rsid w:val="00937D26"/>
    <w:rsid w:val="00942150"/>
    <w:rsid w:val="00951C86"/>
    <w:rsid w:val="00956D7A"/>
    <w:rsid w:val="00966046"/>
    <w:rsid w:val="009770EE"/>
    <w:rsid w:val="009B0D76"/>
    <w:rsid w:val="009B6D52"/>
    <w:rsid w:val="009C1445"/>
    <w:rsid w:val="00A21B8D"/>
    <w:rsid w:val="00A25B84"/>
    <w:rsid w:val="00A407D5"/>
    <w:rsid w:val="00A46877"/>
    <w:rsid w:val="00A47C6F"/>
    <w:rsid w:val="00A5492F"/>
    <w:rsid w:val="00A60DC3"/>
    <w:rsid w:val="00A60E56"/>
    <w:rsid w:val="00A91F56"/>
    <w:rsid w:val="00AA5E76"/>
    <w:rsid w:val="00AE0A90"/>
    <w:rsid w:val="00AE4D14"/>
    <w:rsid w:val="00AF09E1"/>
    <w:rsid w:val="00AF2EBF"/>
    <w:rsid w:val="00B01132"/>
    <w:rsid w:val="00B06CA8"/>
    <w:rsid w:val="00B21761"/>
    <w:rsid w:val="00B307A7"/>
    <w:rsid w:val="00B30D86"/>
    <w:rsid w:val="00B30E2F"/>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214"/>
    <w:rsid w:val="00C30551"/>
    <w:rsid w:val="00C32DF8"/>
    <w:rsid w:val="00C41DDB"/>
    <w:rsid w:val="00C46C5A"/>
    <w:rsid w:val="00C52ABE"/>
    <w:rsid w:val="00C62B03"/>
    <w:rsid w:val="00C656B1"/>
    <w:rsid w:val="00CB683A"/>
    <w:rsid w:val="00CB7C2C"/>
    <w:rsid w:val="00CC062F"/>
    <w:rsid w:val="00CC5C74"/>
    <w:rsid w:val="00CC68E1"/>
    <w:rsid w:val="00CD0745"/>
    <w:rsid w:val="00CD363B"/>
    <w:rsid w:val="00CD3C90"/>
    <w:rsid w:val="00CD59B1"/>
    <w:rsid w:val="00CF098A"/>
    <w:rsid w:val="00CF3041"/>
    <w:rsid w:val="00D123C1"/>
    <w:rsid w:val="00D234FD"/>
    <w:rsid w:val="00D2640B"/>
    <w:rsid w:val="00D51B61"/>
    <w:rsid w:val="00D56571"/>
    <w:rsid w:val="00D64862"/>
    <w:rsid w:val="00D67DE0"/>
    <w:rsid w:val="00D74F66"/>
    <w:rsid w:val="00D82FBD"/>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1E83"/>
    <w:rsid w:val="00EA246B"/>
    <w:rsid w:val="00EA3454"/>
    <w:rsid w:val="00EB2786"/>
    <w:rsid w:val="00EB44FB"/>
    <w:rsid w:val="00EB589C"/>
    <w:rsid w:val="00EC4454"/>
    <w:rsid w:val="00ED1FC8"/>
    <w:rsid w:val="00ED43BB"/>
    <w:rsid w:val="00EF1E93"/>
    <w:rsid w:val="00EF3F75"/>
    <w:rsid w:val="00EF6661"/>
    <w:rsid w:val="00F25441"/>
    <w:rsid w:val="00F260BE"/>
    <w:rsid w:val="00F33643"/>
    <w:rsid w:val="00F34C66"/>
    <w:rsid w:val="00F3743B"/>
    <w:rsid w:val="00F505A6"/>
    <w:rsid w:val="00F56866"/>
    <w:rsid w:val="00F62A6F"/>
    <w:rsid w:val="00F6410E"/>
    <w:rsid w:val="00F74EB6"/>
    <w:rsid w:val="00F8432C"/>
    <w:rsid w:val="00F91B37"/>
    <w:rsid w:val="00F91D83"/>
    <w:rsid w:val="00F91F93"/>
    <w:rsid w:val="00F93A64"/>
    <w:rsid w:val="00F94A2A"/>
    <w:rsid w:val="00F94AEB"/>
    <w:rsid w:val="00FA112C"/>
    <w:rsid w:val="00FA14E4"/>
    <w:rsid w:val="00FB56E2"/>
    <w:rsid w:val="00FC5011"/>
    <w:rsid w:val="00FD0B96"/>
    <w:rsid w:val="00FD54A5"/>
    <w:rsid w:val="00FD58BE"/>
    <w:rsid w:val="00FD6FDC"/>
    <w:rsid w:val="00FE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enu v:ext="edit" extrusion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5A6"/>
    <w:pPr>
      <w:spacing w:before="140"/>
    </w:pPr>
    <w:rPr>
      <w:rFonts w:ascii="Times New Roman" w:hAnsi="Times New Roman"/>
      <w:sz w:val="24"/>
      <w:lang w:val="en-US" w:eastAsia="en-US"/>
    </w:rPr>
  </w:style>
  <w:style w:type="paragraph" w:styleId="Heading1">
    <w:name w:val="heading 1"/>
    <w:next w:val="Normal"/>
    <w:qFormat/>
    <w:rsid w:val="00F505A6"/>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rsid w:val="00F505A6"/>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rsid w:val="00F505A6"/>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05A6"/>
    <w:pPr>
      <w:tabs>
        <w:tab w:val="center" w:pos="4320"/>
        <w:tab w:val="right" w:pos="8640"/>
      </w:tabs>
    </w:pPr>
  </w:style>
  <w:style w:type="paragraph" w:styleId="ListBullet">
    <w:name w:val="List Bullet"/>
    <w:rsid w:val="00F505A6"/>
    <w:pPr>
      <w:numPr>
        <w:numId w:val="1"/>
      </w:numPr>
      <w:spacing w:before="60" w:after="20"/>
    </w:pPr>
    <w:rPr>
      <w:rFonts w:ascii="Times New Roman" w:hAnsi="Times New Roman"/>
      <w:noProof/>
      <w:sz w:val="24"/>
      <w:lang w:val="en-US" w:eastAsia="en-US"/>
    </w:rPr>
  </w:style>
  <w:style w:type="paragraph" w:styleId="ListBullet2">
    <w:name w:val="List Bullet 2"/>
    <w:rsid w:val="00F505A6"/>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rsid w:val="00F505A6"/>
    <w:pPr>
      <w:numPr>
        <w:numId w:val="3"/>
      </w:numPr>
      <w:spacing w:before="60" w:after="20"/>
    </w:pPr>
    <w:rPr>
      <w:rFonts w:ascii="Times New Roman" w:hAnsi="Times New Roman"/>
      <w:noProof/>
      <w:sz w:val="24"/>
      <w:lang w:val="en-US" w:eastAsia="en-US"/>
    </w:rPr>
  </w:style>
  <w:style w:type="paragraph" w:styleId="Footer">
    <w:name w:val="footer"/>
    <w:basedOn w:val="Normal"/>
    <w:rsid w:val="00F505A6"/>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rsid w:val="00F505A6"/>
  </w:style>
  <w:style w:type="character" w:styleId="CommentReference">
    <w:name w:val="annotation reference"/>
    <w:semiHidden/>
    <w:rsid w:val="007D69B5"/>
    <w:rPr>
      <w:sz w:val="16"/>
      <w:szCs w:val="16"/>
    </w:rPr>
  </w:style>
  <w:style w:type="paragraph" w:customStyle="1" w:styleId="Documenttitle">
    <w:name w:val="Document title"/>
    <w:basedOn w:val="Normal"/>
    <w:rsid w:val="00F505A6"/>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C26214"/>
    <w:pPr>
      <w:ind w:left="720"/>
      <w:contextualSpacing/>
    </w:pPr>
  </w:style>
  <w:style w:type="character" w:styleId="PlaceholderText">
    <w:name w:val="Placeholder Text"/>
    <w:basedOn w:val="DefaultParagraphFont"/>
    <w:uiPriority w:val="99"/>
    <w:semiHidden/>
    <w:rsid w:val="000965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Presentation1.pptx"/><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ylvain.dauge@socgen.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4640-ADC3-4FFE-914D-DD3EDD03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1456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CHANGE REQUEST</vt:lpstr>
      <vt:lpstr>MAINTENANCE CHANGE REQUEST</vt:lpstr>
    </vt:vector>
  </TitlesOfParts>
  <Company>S.W.I.F.T. sc</Company>
  <LinksUpToDate>false</LinksUpToDate>
  <CharactersWithSpaces>1717</CharactersWithSpaces>
  <SharedDoc>false</SharedDoc>
  <HLinks>
    <vt:vector size="18" baseType="variant">
      <vt:variant>
        <vt:i4>1114140</vt:i4>
      </vt:variant>
      <vt:variant>
        <vt:i4>6</vt:i4>
      </vt:variant>
      <vt:variant>
        <vt:i4>0</vt:i4>
      </vt:variant>
      <vt:variant>
        <vt:i4>5</vt:i4>
      </vt:variant>
      <vt:variant>
        <vt:lpwstr>http://www.iso20022.org/external_code_list.page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dc:creator>
  <cp:lastModifiedBy>STEENO Aurelie</cp:lastModifiedBy>
  <cp:revision>3</cp:revision>
  <cp:lastPrinted>2009-03-10T10:18:00Z</cp:lastPrinted>
  <dcterms:created xsi:type="dcterms:W3CDTF">2015-07-15T08:57:00Z</dcterms:created>
  <dcterms:modified xsi:type="dcterms:W3CDTF">2015-07-15T08:59:00Z</dcterms:modified>
</cp:coreProperties>
</file>